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5FD0" w:rsidRPr="00765FD0" w:rsidRDefault="00765FD0" w:rsidP="00765FD0">
      <w:pPr>
        <w:pStyle w:val="Ttulo1"/>
        <w:spacing w:before="0"/>
        <w:contextualSpacing/>
        <w:jc w:val="center"/>
        <w:rPr>
          <w:rFonts w:ascii="Times New Roman" w:hAnsi="Times New Roman" w:cstheme="minorHAnsi"/>
          <w:color w:val="auto"/>
          <w:lang w:val="es-ES_tradnl"/>
        </w:rPr>
      </w:pPr>
      <w:bookmarkStart w:id="0" w:name="_GoBack"/>
      <w:bookmarkEnd w:id="0"/>
      <w:r w:rsidRPr="00765FD0">
        <w:rPr>
          <w:rFonts w:ascii="Times New Roman" w:hAnsi="Times New Roman" w:cstheme="minorHAnsi"/>
          <w:color w:val="auto"/>
          <w:lang w:val="es-ES_tradnl"/>
        </w:rPr>
        <w:t>Pontificia Universidad Católica del Ecuador</w:t>
      </w:r>
    </w:p>
    <w:p w:rsidR="00765FD0" w:rsidRPr="00765FD0" w:rsidRDefault="00765FD0" w:rsidP="00765FD0">
      <w:pPr>
        <w:contextualSpacing/>
        <w:jc w:val="center"/>
        <w:rPr>
          <w:b/>
          <w:sz w:val="32"/>
        </w:rPr>
      </w:pPr>
      <w:r w:rsidRPr="00765FD0">
        <w:rPr>
          <w:b/>
          <w:sz w:val="32"/>
        </w:rPr>
        <w:t>Instituto de Salud Pública</w:t>
      </w:r>
    </w:p>
    <w:p w:rsidR="00765FD0" w:rsidRPr="00765FD0" w:rsidRDefault="00765FD0" w:rsidP="00765FD0">
      <w:pPr>
        <w:contextualSpacing/>
        <w:jc w:val="center"/>
        <w:rPr>
          <w:b/>
          <w:sz w:val="32"/>
        </w:rPr>
      </w:pPr>
    </w:p>
    <w:p w:rsidR="00394E2B" w:rsidRDefault="00394E2B" w:rsidP="00765FD0">
      <w:pPr>
        <w:contextualSpacing/>
        <w:jc w:val="center"/>
        <w:rPr>
          <w:b/>
          <w:sz w:val="32"/>
        </w:rPr>
      </w:pPr>
    </w:p>
    <w:p w:rsidR="00765FD0" w:rsidRPr="00765FD0" w:rsidRDefault="00765FD0" w:rsidP="00765FD0">
      <w:pPr>
        <w:contextualSpacing/>
        <w:jc w:val="center"/>
        <w:rPr>
          <w:b/>
          <w:sz w:val="32"/>
        </w:rPr>
      </w:pPr>
    </w:p>
    <w:p w:rsidR="00765FD0" w:rsidRPr="00765FD0" w:rsidRDefault="00765FD0" w:rsidP="00765FD0">
      <w:pPr>
        <w:contextualSpacing/>
        <w:jc w:val="center"/>
        <w:rPr>
          <w:b/>
          <w:sz w:val="32"/>
        </w:rPr>
      </w:pPr>
    </w:p>
    <w:p w:rsidR="00765FD0" w:rsidRPr="00765FD0" w:rsidRDefault="00765FD0" w:rsidP="00765FD0">
      <w:pPr>
        <w:contextualSpacing/>
        <w:jc w:val="center"/>
        <w:rPr>
          <w:b/>
          <w:sz w:val="32"/>
        </w:rPr>
      </w:pPr>
      <w:r w:rsidRPr="00765FD0">
        <w:rPr>
          <w:b/>
          <w:sz w:val="32"/>
        </w:rPr>
        <w:t>INFORME FINAL DEL PROYECTO DE INVESTIGACION</w:t>
      </w:r>
    </w:p>
    <w:p w:rsidR="00765FD0" w:rsidRPr="00765FD0" w:rsidRDefault="00765FD0" w:rsidP="00765FD0">
      <w:pPr>
        <w:contextualSpacing/>
        <w:jc w:val="center"/>
        <w:rPr>
          <w:b/>
          <w:sz w:val="32"/>
        </w:rPr>
      </w:pPr>
      <w:r>
        <w:rPr>
          <w:b/>
          <w:sz w:val="32"/>
        </w:rPr>
        <w:t>CONVOCATORIA</w:t>
      </w:r>
      <w:r w:rsidRPr="00765FD0">
        <w:rPr>
          <w:b/>
          <w:sz w:val="32"/>
        </w:rPr>
        <w:t xml:space="preserve"> 2011</w:t>
      </w:r>
    </w:p>
    <w:p w:rsidR="00765FD0" w:rsidRDefault="00765FD0" w:rsidP="00765FD0">
      <w:pPr>
        <w:ind w:left="720"/>
        <w:jc w:val="center"/>
        <w:rPr>
          <w:b/>
          <w:sz w:val="32"/>
        </w:rPr>
      </w:pPr>
    </w:p>
    <w:p w:rsidR="00765FD0" w:rsidRDefault="00765FD0" w:rsidP="00765FD0">
      <w:pPr>
        <w:ind w:left="720"/>
        <w:jc w:val="center"/>
        <w:rPr>
          <w:b/>
          <w:sz w:val="32"/>
        </w:rPr>
      </w:pPr>
    </w:p>
    <w:p w:rsidR="00765FD0" w:rsidRDefault="00765FD0" w:rsidP="00765FD0">
      <w:pPr>
        <w:ind w:left="720"/>
        <w:jc w:val="center"/>
        <w:rPr>
          <w:b/>
          <w:sz w:val="32"/>
        </w:rPr>
      </w:pPr>
    </w:p>
    <w:p w:rsidR="00765FD0" w:rsidRDefault="00765FD0" w:rsidP="00765FD0">
      <w:pPr>
        <w:ind w:left="720"/>
        <w:jc w:val="center"/>
        <w:rPr>
          <w:b/>
          <w:sz w:val="32"/>
        </w:rPr>
      </w:pPr>
    </w:p>
    <w:p w:rsidR="00765FD0" w:rsidRPr="00765FD0" w:rsidRDefault="00765FD0" w:rsidP="00765FD0">
      <w:pPr>
        <w:ind w:left="720"/>
        <w:jc w:val="center"/>
        <w:rPr>
          <w:b/>
          <w:sz w:val="32"/>
        </w:rPr>
      </w:pPr>
    </w:p>
    <w:p w:rsidR="00765FD0" w:rsidRDefault="00765FD0" w:rsidP="00765FD0">
      <w:pPr>
        <w:ind w:left="720"/>
        <w:jc w:val="center"/>
        <w:rPr>
          <w:b/>
          <w:sz w:val="44"/>
        </w:rPr>
      </w:pPr>
      <w:r w:rsidRPr="00765FD0">
        <w:rPr>
          <w:b/>
          <w:sz w:val="44"/>
        </w:rPr>
        <w:t xml:space="preserve">Concentración y centralización de capital en el sector salud. </w:t>
      </w:r>
    </w:p>
    <w:p w:rsidR="00765FD0" w:rsidRPr="00765FD0" w:rsidRDefault="00765FD0" w:rsidP="00765FD0">
      <w:pPr>
        <w:ind w:left="720"/>
        <w:jc w:val="center"/>
        <w:rPr>
          <w:b/>
          <w:sz w:val="44"/>
        </w:rPr>
      </w:pPr>
      <w:r w:rsidRPr="00765FD0">
        <w:rPr>
          <w:b/>
          <w:sz w:val="44"/>
        </w:rPr>
        <w:t>El caso del Ecuador 2006-2010</w:t>
      </w:r>
    </w:p>
    <w:p w:rsidR="00765FD0" w:rsidRPr="00765FD0" w:rsidRDefault="00765FD0" w:rsidP="00765FD0">
      <w:pPr>
        <w:pStyle w:val="Ttulo1"/>
        <w:spacing w:before="0"/>
        <w:contextualSpacing/>
        <w:jc w:val="center"/>
        <w:rPr>
          <w:rFonts w:ascii="Times New Roman" w:hAnsi="Times New Roman" w:cstheme="minorHAnsi"/>
          <w:color w:val="auto"/>
          <w:lang w:val="es-ES_tradnl"/>
        </w:rPr>
      </w:pPr>
    </w:p>
    <w:p w:rsidR="00765FD0" w:rsidRPr="00765FD0" w:rsidRDefault="00765FD0" w:rsidP="00765FD0">
      <w:pPr>
        <w:contextualSpacing/>
        <w:rPr>
          <w:lang w:val="es-ES_tradnl"/>
        </w:rPr>
      </w:pPr>
    </w:p>
    <w:p w:rsidR="00765FD0" w:rsidRPr="00765FD0" w:rsidRDefault="00765FD0" w:rsidP="00765FD0">
      <w:pPr>
        <w:contextualSpacing/>
      </w:pPr>
    </w:p>
    <w:p w:rsidR="00765FD0" w:rsidRDefault="00765FD0" w:rsidP="00765FD0">
      <w:pPr>
        <w:contextualSpacing/>
      </w:pPr>
    </w:p>
    <w:p w:rsidR="00765FD0" w:rsidRDefault="00765FD0" w:rsidP="00765FD0">
      <w:pPr>
        <w:contextualSpacing/>
      </w:pPr>
    </w:p>
    <w:p w:rsidR="00765FD0" w:rsidRDefault="00765FD0" w:rsidP="00765FD0">
      <w:pPr>
        <w:contextualSpacing/>
      </w:pPr>
    </w:p>
    <w:p w:rsidR="00765FD0" w:rsidRDefault="00765FD0" w:rsidP="00765FD0">
      <w:pPr>
        <w:contextualSpacing/>
      </w:pPr>
      <w:r w:rsidRPr="00765FD0">
        <w:t xml:space="preserve">Director del Proyecto: </w:t>
      </w:r>
      <w:r w:rsidRPr="00765FD0">
        <w:rPr>
          <w:b/>
        </w:rPr>
        <w:t>Ec. Pablo Dávalos</w:t>
      </w:r>
    </w:p>
    <w:p w:rsidR="00765FD0" w:rsidRDefault="00765FD0" w:rsidP="00765FD0">
      <w:pPr>
        <w:contextualSpacing/>
      </w:pPr>
    </w:p>
    <w:p w:rsidR="00765FD0" w:rsidRPr="00765FD0" w:rsidRDefault="00765FD0" w:rsidP="00765FD0">
      <w:pPr>
        <w:contextualSpacing/>
      </w:pPr>
      <w:r w:rsidRPr="00765FD0">
        <w:t>Equipo de Investigación:</w:t>
      </w:r>
    </w:p>
    <w:p w:rsidR="00765FD0" w:rsidRPr="00765FD0" w:rsidRDefault="00765FD0" w:rsidP="00765FD0">
      <w:pPr>
        <w:ind w:left="1416" w:firstLine="708"/>
        <w:contextualSpacing/>
        <w:rPr>
          <w:b/>
        </w:rPr>
      </w:pPr>
      <w:r w:rsidRPr="00765FD0">
        <w:rPr>
          <w:b/>
        </w:rPr>
        <w:t>Rowland Astudillo</w:t>
      </w:r>
    </w:p>
    <w:p w:rsidR="00765FD0" w:rsidRPr="00765FD0" w:rsidRDefault="00765FD0" w:rsidP="00765FD0">
      <w:pPr>
        <w:ind w:left="1416" w:firstLine="708"/>
        <w:contextualSpacing/>
        <w:rPr>
          <w:b/>
        </w:rPr>
      </w:pPr>
      <w:r w:rsidRPr="00765FD0">
        <w:rPr>
          <w:b/>
        </w:rPr>
        <w:t>Alexandra Cadena</w:t>
      </w:r>
    </w:p>
    <w:p w:rsidR="00765FD0" w:rsidRPr="00765FD0" w:rsidRDefault="00765FD0" w:rsidP="00765FD0">
      <w:pPr>
        <w:contextualSpacing/>
      </w:pPr>
    </w:p>
    <w:p w:rsidR="00765FD0" w:rsidRPr="00765FD0" w:rsidRDefault="00765FD0" w:rsidP="00765FD0">
      <w:pPr>
        <w:contextualSpacing/>
      </w:pPr>
    </w:p>
    <w:p w:rsidR="00765FD0" w:rsidRPr="00765FD0" w:rsidRDefault="00765FD0" w:rsidP="00765FD0">
      <w:pPr>
        <w:contextualSpacing/>
      </w:pPr>
    </w:p>
    <w:p w:rsidR="00765FD0" w:rsidRDefault="00765FD0" w:rsidP="00765FD0">
      <w:pPr>
        <w:contextualSpacing/>
      </w:pPr>
    </w:p>
    <w:p w:rsidR="00765FD0" w:rsidRDefault="00765FD0" w:rsidP="00765FD0">
      <w:pPr>
        <w:contextualSpacing/>
      </w:pPr>
    </w:p>
    <w:p w:rsidR="00765FD0" w:rsidRDefault="00765FD0" w:rsidP="00765FD0">
      <w:pPr>
        <w:contextualSpacing/>
      </w:pPr>
    </w:p>
    <w:p w:rsidR="00765FD0" w:rsidRPr="00765FD0" w:rsidRDefault="00765FD0" w:rsidP="00765FD0">
      <w:pPr>
        <w:contextualSpacing/>
      </w:pPr>
      <w:r w:rsidRPr="00765FD0">
        <w:t>Fecha: 15 de diciembre de 2011</w:t>
      </w:r>
    </w:p>
    <w:p w:rsidR="00765FD0" w:rsidRDefault="00765FD0">
      <w:pPr>
        <w:rPr>
          <w:rFonts w:ascii="Book Antiqua" w:hAnsi="Book Antiqua"/>
          <w:b/>
          <w:sz w:val="32"/>
          <w:szCs w:val="32"/>
        </w:rPr>
      </w:pPr>
      <w:r>
        <w:rPr>
          <w:rFonts w:ascii="Book Antiqua" w:hAnsi="Book Antiqua"/>
          <w:b/>
          <w:sz w:val="32"/>
          <w:szCs w:val="32"/>
        </w:rPr>
        <w:br w:type="page"/>
      </w:r>
    </w:p>
    <w:p w:rsidR="00765FD0" w:rsidRDefault="00765FD0" w:rsidP="004F1729">
      <w:pPr>
        <w:jc w:val="center"/>
        <w:rPr>
          <w:rFonts w:ascii="Book Antiqua" w:hAnsi="Book Antiqua"/>
          <w:b/>
          <w:sz w:val="32"/>
          <w:szCs w:val="32"/>
        </w:rPr>
      </w:pPr>
    </w:p>
    <w:p w:rsidR="004F1729" w:rsidRPr="00DE762A" w:rsidRDefault="004F1729" w:rsidP="004F1729">
      <w:pPr>
        <w:jc w:val="center"/>
        <w:rPr>
          <w:rFonts w:ascii="Book Antiqua" w:hAnsi="Book Antiqua"/>
          <w:b/>
          <w:sz w:val="32"/>
          <w:szCs w:val="32"/>
        </w:rPr>
      </w:pPr>
      <w:r w:rsidRPr="00DE762A">
        <w:rPr>
          <w:rFonts w:ascii="Book Antiqua" w:hAnsi="Book Antiqua"/>
          <w:b/>
          <w:sz w:val="32"/>
          <w:szCs w:val="32"/>
        </w:rPr>
        <w:t>“INFORME FINAL</w:t>
      </w:r>
      <w:r>
        <w:rPr>
          <w:rFonts w:ascii="Book Antiqua" w:hAnsi="Book Antiqua"/>
          <w:b/>
          <w:sz w:val="32"/>
          <w:szCs w:val="32"/>
        </w:rPr>
        <w:t xml:space="preserve"> DEL PROYECTO DE INVESTIGACIÓN</w:t>
      </w:r>
      <w:r w:rsidRPr="00DE762A">
        <w:rPr>
          <w:rFonts w:ascii="Book Antiqua" w:hAnsi="Book Antiqua"/>
          <w:b/>
          <w:sz w:val="32"/>
          <w:szCs w:val="32"/>
        </w:rPr>
        <w:t xml:space="preserve"> CONVOCATORIA 2011”</w:t>
      </w:r>
    </w:p>
    <w:p w:rsidR="004F1729" w:rsidRDefault="004F1729" w:rsidP="004F1729">
      <w:pPr>
        <w:jc w:val="center"/>
        <w:rPr>
          <w:rFonts w:ascii="Book Antiqua" w:hAnsi="Book Antiqua"/>
          <w:b/>
          <w:sz w:val="22"/>
          <w:szCs w:val="22"/>
        </w:rPr>
      </w:pPr>
    </w:p>
    <w:p w:rsidR="004F1729" w:rsidRDefault="004F1729" w:rsidP="004F1729">
      <w:pPr>
        <w:ind w:left="360"/>
        <w:jc w:val="both"/>
        <w:rPr>
          <w:rFonts w:ascii="Book Antiqua" w:hAnsi="Book Antiqua"/>
          <w:sz w:val="22"/>
          <w:szCs w:val="22"/>
        </w:rPr>
      </w:pPr>
    </w:p>
    <w:p w:rsidR="004F1729" w:rsidRPr="00A75096" w:rsidRDefault="004F1729" w:rsidP="004F1729">
      <w:pPr>
        <w:ind w:firstLine="360"/>
        <w:jc w:val="both"/>
        <w:rPr>
          <w:rFonts w:ascii="Book Antiqua" w:hAnsi="Book Antiqua"/>
          <w:sz w:val="22"/>
          <w:szCs w:val="22"/>
        </w:rPr>
      </w:pPr>
    </w:p>
    <w:p w:rsidR="004F1729" w:rsidRPr="00DE762A" w:rsidRDefault="004F1729" w:rsidP="004F1729">
      <w:pPr>
        <w:widowControl w:val="0"/>
        <w:numPr>
          <w:ilvl w:val="0"/>
          <w:numId w:val="8"/>
        </w:numPr>
        <w:jc w:val="both"/>
        <w:rPr>
          <w:rFonts w:ascii="Book Antiqua" w:hAnsi="Book Antiqua"/>
          <w:sz w:val="22"/>
          <w:szCs w:val="22"/>
        </w:rPr>
      </w:pPr>
      <w:r w:rsidRPr="00DE762A">
        <w:rPr>
          <w:rFonts w:ascii="Book Antiqua" w:hAnsi="Book Antiqua"/>
          <w:sz w:val="22"/>
          <w:szCs w:val="22"/>
        </w:rPr>
        <w:t>DATOS GENERALES.</w:t>
      </w:r>
    </w:p>
    <w:p w:rsidR="004F1729" w:rsidRPr="00DE762A" w:rsidRDefault="004F1729" w:rsidP="004F1729">
      <w:pPr>
        <w:widowControl w:val="0"/>
        <w:numPr>
          <w:ilvl w:val="0"/>
          <w:numId w:val="12"/>
        </w:numPr>
        <w:jc w:val="both"/>
        <w:rPr>
          <w:rFonts w:ascii="Book Antiqua" w:hAnsi="Book Antiqua"/>
          <w:sz w:val="22"/>
          <w:szCs w:val="22"/>
        </w:rPr>
      </w:pPr>
      <w:r w:rsidRPr="00DE762A">
        <w:rPr>
          <w:rFonts w:ascii="Book Antiqua" w:hAnsi="Book Antiqua"/>
          <w:sz w:val="22"/>
          <w:szCs w:val="22"/>
        </w:rPr>
        <w:t>Unidad académica:</w:t>
      </w:r>
      <w:r>
        <w:rPr>
          <w:rFonts w:ascii="Book Antiqua" w:hAnsi="Book Antiqua"/>
          <w:sz w:val="22"/>
          <w:szCs w:val="22"/>
        </w:rPr>
        <w:t xml:space="preserve"> Instituto de Salud Pública</w:t>
      </w:r>
    </w:p>
    <w:p w:rsidR="004F1729" w:rsidRPr="00DE762A" w:rsidRDefault="004F1729" w:rsidP="004F1729">
      <w:pPr>
        <w:ind w:left="720"/>
        <w:jc w:val="both"/>
        <w:rPr>
          <w:rFonts w:ascii="Book Antiqua" w:hAnsi="Book Antiqua"/>
          <w:sz w:val="22"/>
          <w:szCs w:val="22"/>
        </w:rPr>
      </w:pPr>
      <w:r w:rsidRPr="00DE762A">
        <w:rPr>
          <w:rFonts w:ascii="Book Antiqua" w:hAnsi="Book Antiqua"/>
          <w:sz w:val="22"/>
          <w:szCs w:val="22"/>
        </w:rPr>
        <w:t>Facultad:</w:t>
      </w:r>
      <w:r>
        <w:rPr>
          <w:rFonts w:ascii="Book Antiqua" w:hAnsi="Book Antiqua"/>
          <w:sz w:val="22"/>
          <w:szCs w:val="22"/>
        </w:rPr>
        <w:t xml:space="preserve"> Medicina</w:t>
      </w:r>
    </w:p>
    <w:p w:rsidR="004F1729" w:rsidRPr="00DE762A" w:rsidRDefault="004F1729" w:rsidP="004F1729">
      <w:pPr>
        <w:ind w:left="720"/>
        <w:jc w:val="both"/>
        <w:rPr>
          <w:rFonts w:ascii="Book Antiqua" w:hAnsi="Book Antiqua"/>
          <w:sz w:val="22"/>
          <w:szCs w:val="22"/>
        </w:rPr>
      </w:pPr>
      <w:r w:rsidRPr="00DE762A">
        <w:rPr>
          <w:rFonts w:ascii="Book Antiqua" w:hAnsi="Book Antiqua"/>
          <w:sz w:val="22"/>
          <w:szCs w:val="22"/>
        </w:rPr>
        <w:t>Escuela:</w:t>
      </w:r>
      <w:r>
        <w:rPr>
          <w:rFonts w:ascii="Book Antiqua" w:hAnsi="Book Antiqua"/>
          <w:sz w:val="22"/>
          <w:szCs w:val="22"/>
        </w:rPr>
        <w:t xml:space="preserve"> Medicina</w:t>
      </w:r>
    </w:p>
    <w:p w:rsidR="004F1729" w:rsidRPr="00DE762A" w:rsidRDefault="004F1729" w:rsidP="004F1729">
      <w:pPr>
        <w:ind w:left="720"/>
        <w:jc w:val="both"/>
        <w:rPr>
          <w:rFonts w:ascii="Book Antiqua" w:hAnsi="Book Antiqua"/>
          <w:sz w:val="22"/>
          <w:szCs w:val="22"/>
        </w:rPr>
      </w:pPr>
    </w:p>
    <w:p w:rsidR="004F1729" w:rsidRDefault="004F1729" w:rsidP="004F1729">
      <w:pPr>
        <w:widowControl w:val="0"/>
        <w:numPr>
          <w:ilvl w:val="0"/>
          <w:numId w:val="12"/>
        </w:numPr>
        <w:jc w:val="both"/>
        <w:rPr>
          <w:rFonts w:ascii="Book Antiqua" w:hAnsi="Book Antiqua"/>
          <w:sz w:val="22"/>
          <w:szCs w:val="22"/>
        </w:rPr>
      </w:pPr>
      <w:r w:rsidRPr="00DE762A">
        <w:rPr>
          <w:rFonts w:ascii="Book Antiqua" w:hAnsi="Book Antiqua"/>
          <w:sz w:val="22"/>
          <w:szCs w:val="22"/>
        </w:rPr>
        <w:t>Título del proyecto de investigación:</w:t>
      </w:r>
    </w:p>
    <w:p w:rsidR="004F1729" w:rsidRDefault="004F1729" w:rsidP="004F1729">
      <w:pPr>
        <w:ind w:left="720"/>
        <w:jc w:val="both"/>
        <w:rPr>
          <w:b/>
          <w:szCs w:val="22"/>
        </w:rPr>
      </w:pPr>
      <w:r w:rsidRPr="00134DEB">
        <w:rPr>
          <w:szCs w:val="22"/>
        </w:rPr>
        <w:t>“</w:t>
      </w:r>
      <w:r w:rsidRPr="00134DEB">
        <w:rPr>
          <w:b/>
          <w:szCs w:val="22"/>
        </w:rPr>
        <w:t>Concentración y centralización de capital en el sector salud. El caso del Ecuador 2006-2010”</w:t>
      </w:r>
    </w:p>
    <w:p w:rsidR="004F1729" w:rsidRPr="00DE762A" w:rsidRDefault="004F1729" w:rsidP="004F1729">
      <w:pPr>
        <w:ind w:left="720"/>
        <w:jc w:val="both"/>
        <w:rPr>
          <w:rFonts w:ascii="Book Antiqua" w:hAnsi="Book Antiqua"/>
          <w:sz w:val="22"/>
          <w:szCs w:val="22"/>
        </w:rPr>
      </w:pPr>
    </w:p>
    <w:p w:rsidR="004F1729" w:rsidRPr="00DE762A" w:rsidRDefault="004F1729" w:rsidP="004F1729">
      <w:pPr>
        <w:ind w:left="720"/>
        <w:jc w:val="both"/>
        <w:rPr>
          <w:rFonts w:ascii="Book Antiqua" w:hAnsi="Book Antiqua"/>
          <w:sz w:val="22"/>
          <w:szCs w:val="22"/>
        </w:rPr>
      </w:pPr>
      <w:r w:rsidRPr="00DE762A">
        <w:rPr>
          <w:rFonts w:ascii="Book Antiqua" w:hAnsi="Book Antiqua"/>
          <w:sz w:val="22"/>
          <w:szCs w:val="22"/>
        </w:rPr>
        <w:t>Director</w:t>
      </w:r>
      <w:r>
        <w:rPr>
          <w:rFonts w:ascii="Book Antiqua" w:hAnsi="Book Antiqua"/>
          <w:sz w:val="22"/>
          <w:szCs w:val="22"/>
        </w:rPr>
        <w:t>(a)</w:t>
      </w:r>
      <w:r w:rsidRPr="00DE762A">
        <w:rPr>
          <w:rFonts w:ascii="Book Antiqua" w:hAnsi="Book Antiqua"/>
          <w:sz w:val="22"/>
          <w:szCs w:val="22"/>
        </w:rPr>
        <w:t xml:space="preserve"> del Proyecto:</w:t>
      </w:r>
      <w:r>
        <w:rPr>
          <w:rFonts w:ascii="Book Antiqua" w:hAnsi="Book Antiqua"/>
          <w:sz w:val="22"/>
          <w:szCs w:val="22"/>
        </w:rPr>
        <w:t xml:space="preserve"> Econ. Pablo Dávalos</w:t>
      </w:r>
    </w:p>
    <w:p w:rsidR="004F1729" w:rsidRPr="00DE762A" w:rsidRDefault="004F1729" w:rsidP="004F1729">
      <w:pPr>
        <w:pStyle w:val="Prrafodelista"/>
        <w:rPr>
          <w:rFonts w:ascii="Book Antiqua" w:hAnsi="Book Antiqua"/>
          <w:sz w:val="22"/>
          <w:szCs w:val="22"/>
        </w:rPr>
      </w:pPr>
      <w:r>
        <w:rPr>
          <w:rFonts w:ascii="Book Antiqua" w:hAnsi="Book Antiqua"/>
          <w:sz w:val="22"/>
          <w:szCs w:val="22"/>
        </w:rPr>
        <w:t>Área de Investigación: Ciencias Economía de la Salud</w:t>
      </w:r>
    </w:p>
    <w:p w:rsidR="004F1729" w:rsidRPr="00DE762A" w:rsidRDefault="004F1729" w:rsidP="004F1729">
      <w:pPr>
        <w:ind w:left="720"/>
        <w:jc w:val="both"/>
        <w:rPr>
          <w:rFonts w:ascii="Book Antiqua" w:hAnsi="Book Antiqua"/>
          <w:sz w:val="22"/>
          <w:szCs w:val="22"/>
        </w:rPr>
      </w:pPr>
      <w:r w:rsidRPr="00DE762A">
        <w:rPr>
          <w:rFonts w:ascii="Book Antiqua" w:hAnsi="Book Antiqua"/>
          <w:sz w:val="22"/>
          <w:szCs w:val="22"/>
        </w:rPr>
        <w:t>Línea de Investigación:</w:t>
      </w:r>
      <w:r>
        <w:rPr>
          <w:rFonts w:ascii="Book Antiqua" w:hAnsi="Book Antiqua"/>
          <w:sz w:val="22"/>
          <w:szCs w:val="22"/>
        </w:rPr>
        <w:t xml:space="preserve"> Análisis de economía política</w:t>
      </w:r>
    </w:p>
    <w:p w:rsidR="004F1729" w:rsidRPr="00DE762A" w:rsidRDefault="004F1729" w:rsidP="004F1729">
      <w:pPr>
        <w:ind w:left="720"/>
        <w:jc w:val="both"/>
        <w:rPr>
          <w:rFonts w:ascii="Book Antiqua" w:hAnsi="Book Antiqua"/>
          <w:sz w:val="22"/>
          <w:szCs w:val="22"/>
        </w:rPr>
      </w:pPr>
    </w:p>
    <w:p w:rsidR="004F1729" w:rsidRPr="00DE762A" w:rsidRDefault="004F1729" w:rsidP="004F1729">
      <w:pPr>
        <w:pStyle w:val="Prrafodelista"/>
        <w:numPr>
          <w:ilvl w:val="0"/>
          <w:numId w:val="13"/>
        </w:numPr>
        <w:rPr>
          <w:rFonts w:ascii="Book Antiqua" w:hAnsi="Book Antiqua"/>
          <w:sz w:val="22"/>
          <w:szCs w:val="22"/>
        </w:rPr>
      </w:pPr>
      <w:r w:rsidRPr="00DE762A">
        <w:rPr>
          <w:rFonts w:ascii="Book Antiqua" w:hAnsi="Book Antiqua"/>
          <w:sz w:val="22"/>
          <w:szCs w:val="22"/>
        </w:rPr>
        <w:t>Tipo de la investigación:</w:t>
      </w:r>
    </w:p>
    <w:p w:rsidR="004F1729" w:rsidRPr="00DE762A" w:rsidRDefault="004F1729" w:rsidP="004F1729">
      <w:pPr>
        <w:pStyle w:val="Prrafodelista"/>
        <w:numPr>
          <w:ilvl w:val="1"/>
          <w:numId w:val="13"/>
        </w:numPr>
        <w:rPr>
          <w:rFonts w:ascii="Book Antiqua" w:hAnsi="Book Antiqua"/>
          <w:sz w:val="22"/>
          <w:szCs w:val="22"/>
        </w:rPr>
      </w:pPr>
      <w:r w:rsidRPr="00DE762A">
        <w:rPr>
          <w:rFonts w:ascii="Book Antiqua" w:hAnsi="Book Antiqua"/>
          <w:sz w:val="22"/>
          <w:szCs w:val="22"/>
        </w:rPr>
        <w:t>Básica</w:t>
      </w:r>
      <w:r w:rsidRPr="00DE762A">
        <w:rPr>
          <w:rFonts w:ascii="Book Antiqua" w:hAnsi="Book Antiqua"/>
          <w:sz w:val="22"/>
          <w:szCs w:val="22"/>
        </w:rPr>
        <w:tab/>
      </w:r>
      <w:r w:rsidRPr="00DE762A">
        <w:rPr>
          <w:rFonts w:ascii="Book Antiqua" w:hAnsi="Book Antiqua"/>
          <w:sz w:val="22"/>
          <w:szCs w:val="22"/>
        </w:rPr>
        <w:tab/>
      </w:r>
      <w:r w:rsidRPr="00DE762A">
        <w:rPr>
          <w:rFonts w:ascii="Book Antiqua" w:hAnsi="Book Antiqua"/>
          <w:sz w:val="22"/>
          <w:szCs w:val="22"/>
        </w:rPr>
        <w:tab/>
      </w:r>
      <w:r w:rsidRPr="00DE762A">
        <w:rPr>
          <w:rFonts w:ascii="Book Antiqua" w:hAnsi="Book Antiqua"/>
          <w:sz w:val="22"/>
          <w:szCs w:val="22"/>
        </w:rPr>
        <w:tab/>
        <w:t xml:space="preserve">(  </w:t>
      </w:r>
      <w:r>
        <w:rPr>
          <w:rFonts w:ascii="Book Antiqua" w:hAnsi="Book Antiqua"/>
          <w:sz w:val="22"/>
          <w:szCs w:val="22"/>
        </w:rPr>
        <w:t>X</w:t>
      </w:r>
      <w:r w:rsidRPr="00DE762A">
        <w:rPr>
          <w:rFonts w:ascii="Book Antiqua" w:hAnsi="Book Antiqua"/>
          <w:sz w:val="22"/>
          <w:szCs w:val="22"/>
        </w:rPr>
        <w:t xml:space="preserve"> )</w:t>
      </w:r>
    </w:p>
    <w:p w:rsidR="004F1729" w:rsidRPr="00DE762A" w:rsidRDefault="004F1729" w:rsidP="004F1729">
      <w:pPr>
        <w:pStyle w:val="Prrafodelista"/>
        <w:numPr>
          <w:ilvl w:val="1"/>
          <w:numId w:val="13"/>
        </w:numPr>
        <w:rPr>
          <w:rFonts w:ascii="Book Antiqua" w:hAnsi="Book Antiqua"/>
          <w:sz w:val="22"/>
          <w:szCs w:val="22"/>
        </w:rPr>
      </w:pPr>
      <w:r w:rsidRPr="00DE762A">
        <w:rPr>
          <w:rFonts w:ascii="Book Antiqua" w:hAnsi="Book Antiqua"/>
          <w:sz w:val="22"/>
          <w:szCs w:val="22"/>
        </w:rPr>
        <w:t>Aplicada</w:t>
      </w:r>
      <w:r w:rsidRPr="00DE762A">
        <w:rPr>
          <w:rFonts w:ascii="Book Antiqua" w:hAnsi="Book Antiqua"/>
          <w:sz w:val="22"/>
          <w:szCs w:val="22"/>
        </w:rPr>
        <w:tab/>
      </w:r>
      <w:r w:rsidRPr="00DE762A">
        <w:rPr>
          <w:rFonts w:ascii="Book Antiqua" w:hAnsi="Book Antiqua"/>
          <w:sz w:val="22"/>
          <w:szCs w:val="22"/>
        </w:rPr>
        <w:tab/>
      </w:r>
      <w:r w:rsidRPr="00DE762A">
        <w:rPr>
          <w:rFonts w:ascii="Book Antiqua" w:hAnsi="Book Antiqua"/>
          <w:sz w:val="22"/>
          <w:szCs w:val="22"/>
        </w:rPr>
        <w:tab/>
        <w:t>(   )</w:t>
      </w:r>
    </w:p>
    <w:p w:rsidR="004F1729" w:rsidRPr="00DE762A" w:rsidRDefault="004F1729" w:rsidP="004F1729">
      <w:pPr>
        <w:pStyle w:val="Prrafodelista"/>
        <w:numPr>
          <w:ilvl w:val="1"/>
          <w:numId w:val="13"/>
        </w:numPr>
        <w:rPr>
          <w:rFonts w:ascii="Book Antiqua" w:hAnsi="Book Antiqua"/>
          <w:sz w:val="22"/>
          <w:szCs w:val="22"/>
        </w:rPr>
      </w:pPr>
      <w:r w:rsidRPr="00DE762A">
        <w:rPr>
          <w:rFonts w:ascii="Book Antiqua" w:hAnsi="Book Antiqua"/>
          <w:sz w:val="22"/>
          <w:szCs w:val="22"/>
        </w:rPr>
        <w:t>Desarrollo Experimental</w:t>
      </w:r>
      <w:r w:rsidRPr="00DE762A">
        <w:rPr>
          <w:rFonts w:ascii="Book Antiqua" w:hAnsi="Book Antiqua"/>
          <w:sz w:val="22"/>
          <w:szCs w:val="22"/>
        </w:rPr>
        <w:tab/>
        <w:t>(   )</w:t>
      </w:r>
    </w:p>
    <w:p w:rsidR="004F1729" w:rsidRPr="00DE762A" w:rsidRDefault="004F1729" w:rsidP="004F1729">
      <w:pPr>
        <w:jc w:val="both"/>
        <w:rPr>
          <w:rFonts w:ascii="Book Antiqua" w:hAnsi="Book Antiqua"/>
          <w:sz w:val="20"/>
        </w:rPr>
      </w:pPr>
    </w:p>
    <w:p w:rsidR="004F1729" w:rsidRPr="00DE762A" w:rsidRDefault="004F1729" w:rsidP="004F1729">
      <w:pPr>
        <w:widowControl w:val="0"/>
        <w:numPr>
          <w:ilvl w:val="0"/>
          <w:numId w:val="8"/>
        </w:numPr>
        <w:jc w:val="both"/>
        <w:rPr>
          <w:rFonts w:ascii="Book Antiqua" w:hAnsi="Book Antiqua"/>
          <w:sz w:val="22"/>
          <w:szCs w:val="22"/>
        </w:rPr>
      </w:pPr>
      <w:r w:rsidRPr="00DE762A">
        <w:rPr>
          <w:rFonts w:ascii="Book Antiqua" w:hAnsi="Book Antiqua"/>
          <w:sz w:val="22"/>
          <w:szCs w:val="22"/>
        </w:rPr>
        <w:t>OBJETIVOS DEL PROYECTO</w:t>
      </w:r>
    </w:p>
    <w:p w:rsidR="004F1729" w:rsidRDefault="004F1729" w:rsidP="004F1729">
      <w:pPr>
        <w:ind w:left="360"/>
        <w:jc w:val="both"/>
        <w:rPr>
          <w:rFonts w:ascii="Book Antiqua" w:hAnsi="Book Antiqua"/>
          <w:b/>
          <w:sz w:val="22"/>
          <w:szCs w:val="22"/>
        </w:rPr>
      </w:pPr>
    </w:p>
    <w:p w:rsidR="004F1729" w:rsidRPr="00A87699" w:rsidRDefault="004F1729" w:rsidP="004F1729">
      <w:pPr>
        <w:ind w:left="360"/>
        <w:jc w:val="both"/>
        <w:rPr>
          <w:rFonts w:ascii="Book Antiqua" w:hAnsi="Book Antiqua"/>
          <w:b/>
          <w:sz w:val="22"/>
          <w:szCs w:val="22"/>
        </w:rPr>
      </w:pPr>
      <w:r w:rsidRPr="00A87699">
        <w:rPr>
          <w:rFonts w:ascii="Book Antiqua" w:hAnsi="Book Antiqua"/>
          <w:b/>
          <w:sz w:val="22"/>
          <w:szCs w:val="22"/>
        </w:rPr>
        <w:t>Objetivo general</w:t>
      </w:r>
    </w:p>
    <w:p w:rsidR="004F1729" w:rsidRPr="00134DEB" w:rsidRDefault="004F1729" w:rsidP="004F1729">
      <w:pPr>
        <w:ind w:left="1134"/>
        <w:jc w:val="both"/>
        <w:rPr>
          <w:szCs w:val="22"/>
        </w:rPr>
      </w:pPr>
      <w:r w:rsidRPr="00134DEB">
        <w:rPr>
          <w:szCs w:val="22"/>
        </w:rPr>
        <w:t>Comprender los procesos y dinámicas de inversión privada y empresarial en el sector salud en el Ecuador para el periodo 2006-2010, que conducen a una expansión de la esfera mercantil en el ámbito de la salud que se expresa en un mayor poder financiero y económico en grupos económicos vinculados a la salud, en un contexto en el que se han producido importantes cambios institucionales, jurídicos y sociales que dan mayor rol al Estado y su capacidad de rectoría y regulación.</w:t>
      </w:r>
    </w:p>
    <w:p w:rsidR="004F1729" w:rsidRPr="002144B5" w:rsidRDefault="004F1729" w:rsidP="004F1729">
      <w:pPr>
        <w:ind w:left="360"/>
        <w:jc w:val="both"/>
        <w:rPr>
          <w:rFonts w:ascii="Book Antiqua" w:hAnsi="Book Antiqua"/>
          <w:sz w:val="22"/>
          <w:szCs w:val="22"/>
        </w:rPr>
      </w:pPr>
    </w:p>
    <w:p w:rsidR="004F1729" w:rsidRPr="004F1729" w:rsidRDefault="004F1729" w:rsidP="004F1729">
      <w:pPr>
        <w:ind w:left="360"/>
        <w:jc w:val="both"/>
        <w:rPr>
          <w:rFonts w:ascii="Book Antiqua" w:hAnsi="Book Antiqua"/>
          <w:b/>
          <w:sz w:val="22"/>
          <w:szCs w:val="22"/>
        </w:rPr>
      </w:pPr>
      <w:r w:rsidRPr="004F1729">
        <w:rPr>
          <w:rFonts w:ascii="Book Antiqua" w:hAnsi="Book Antiqua"/>
          <w:b/>
          <w:sz w:val="22"/>
          <w:szCs w:val="22"/>
        </w:rPr>
        <w:t>Objetivos específicos</w:t>
      </w:r>
    </w:p>
    <w:p w:rsidR="004F1729" w:rsidRDefault="004F1729" w:rsidP="004F1729">
      <w:pPr>
        <w:ind w:left="360"/>
        <w:jc w:val="both"/>
        <w:rPr>
          <w:rFonts w:ascii="Book Antiqua" w:hAnsi="Book Antiqua"/>
          <w:sz w:val="22"/>
          <w:szCs w:val="22"/>
        </w:rPr>
      </w:pPr>
    </w:p>
    <w:p w:rsidR="004F1729" w:rsidRPr="00134DEB" w:rsidRDefault="004F1729" w:rsidP="004F1729">
      <w:pPr>
        <w:widowControl w:val="0"/>
        <w:numPr>
          <w:ilvl w:val="0"/>
          <w:numId w:val="9"/>
        </w:numPr>
        <w:jc w:val="both"/>
        <w:rPr>
          <w:szCs w:val="22"/>
        </w:rPr>
      </w:pPr>
      <w:r w:rsidRPr="00134DEB">
        <w:rPr>
          <w:szCs w:val="22"/>
        </w:rPr>
        <w:t>Estudiar los procesos de monopolización (centralización) y expansión mercantil (concentración) en el área de la salud por parte de grupos económicos, para el periodo 2006-2010.</w:t>
      </w:r>
    </w:p>
    <w:p w:rsidR="004F1729" w:rsidRPr="00134DEB" w:rsidRDefault="004F1729" w:rsidP="004F1729">
      <w:pPr>
        <w:widowControl w:val="0"/>
        <w:numPr>
          <w:ilvl w:val="0"/>
          <w:numId w:val="9"/>
        </w:numPr>
        <w:jc w:val="both"/>
        <w:rPr>
          <w:szCs w:val="22"/>
        </w:rPr>
      </w:pPr>
      <w:r w:rsidRPr="00134DEB">
        <w:rPr>
          <w:szCs w:val="22"/>
        </w:rPr>
        <w:t>Identificar los principales grupos económicos en el sector salud, en especial en el sector de aseguramiento de la salud, producción y distribución de medicamentos, oferta hospitalaria privada de salud.</w:t>
      </w:r>
    </w:p>
    <w:p w:rsidR="004F1729" w:rsidRPr="00134DEB" w:rsidRDefault="004F1729" w:rsidP="004F1729">
      <w:pPr>
        <w:widowControl w:val="0"/>
        <w:numPr>
          <w:ilvl w:val="0"/>
          <w:numId w:val="9"/>
        </w:numPr>
        <w:jc w:val="both"/>
        <w:rPr>
          <w:szCs w:val="22"/>
        </w:rPr>
      </w:pPr>
      <w:r w:rsidRPr="00134DEB">
        <w:rPr>
          <w:szCs w:val="22"/>
        </w:rPr>
        <w:t>Estudiar las dinámicas de precios a fin de establecer las tasas de beneficio de las empresas privadas del sector salud.</w:t>
      </w:r>
    </w:p>
    <w:p w:rsidR="004F1729" w:rsidRPr="00134DEB" w:rsidRDefault="004F1729" w:rsidP="004F1729">
      <w:pPr>
        <w:widowControl w:val="0"/>
        <w:numPr>
          <w:ilvl w:val="0"/>
          <w:numId w:val="9"/>
        </w:numPr>
        <w:jc w:val="both"/>
        <w:rPr>
          <w:szCs w:val="22"/>
        </w:rPr>
      </w:pPr>
      <w:r w:rsidRPr="00134DEB">
        <w:rPr>
          <w:szCs w:val="22"/>
        </w:rPr>
        <w:t>Comprender la forma por la cual estas empresas privadas se apalancan financieramente en el creciente gasto público en salud en el periodo 2006-2010.</w:t>
      </w:r>
    </w:p>
    <w:p w:rsidR="004F1729" w:rsidRPr="00134DEB" w:rsidRDefault="004F1729" w:rsidP="004F1729">
      <w:pPr>
        <w:widowControl w:val="0"/>
        <w:numPr>
          <w:ilvl w:val="0"/>
          <w:numId w:val="9"/>
        </w:numPr>
        <w:jc w:val="both"/>
        <w:rPr>
          <w:szCs w:val="22"/>
        </w:rPr>
      </w:pPr>
      <w:r w:rsidRPr="00134DEB">
        <w:rPr>
          <w:szCs w:val="22"/>
        </w:rPr>
        <w:t xml:space="preserve">Establecer las relaciones de los grupos económicos nacionales con las transnacionales de la salud que operan en el Ecuador e identificar los niveles de </w:t>
      </w:r>
      <w:r w:rsidRPr="00134DEB">
        <w:rPr>
          <w:szCs w:val="22"/>
        </w:rPr>
        <w:lastRenderedPageBreak/>
        <w:t>transnacionalización de la salud existentes en el Ecuador.</w:t>
      </w:r>
    </w:p>
    <w:p w:rsidR="004F1729" w:rsidRDefault="004F1729" w:rsidP="004F1729">
      <w:pPr>
        <w:widowControl w:val="0"/>
        <w:numPr>
          <w:ilvl w:val="0"/>
          <w:numId w:val="9"/>
        </w:numPr>
        <w:jc w:val="both"/>
        <w:rPr>
          <w:rFonts w:ascii="Book Antiqua" w:hAnsi="Book Antiqua"/>
          <w:sz w:val="22"/>
          <w:szCs w:val="22"/>
        </w:rPr>
      </w:pPr>
    </w:p>
    <w:p w:rsidR="004F1729" w:rsidRPr="00DE762A" w:rsidRDefault="004F1729" w:rsidP="004F1729">
      <w:pPr>
        <w:pStyle w:val="Prrafodelista"/>
        <w:rPr>
          <w:rFonts w:ascii="Book Antiqua" w:hAnsi="Book Antiqua"/>
          <w:sz w:val="22"/>
          <w:szCs w:val="22"/>
        </w:rPr>
      </w:pPr>
    </w:p>
    <w:p w:rsidR="004F1729" w:rsidRPr="00DE762A" w:rsidRDefault="004F1729" w:rsidP="004F1729">
      <w:pPr>
        <w:widowControl w:val="0"/>
        <w:numPr>
          <w:ilvl w:val="0"/>
          <w:numId w:val="8"/>
        </w:numPr>
        <w:jc w:val="both"/>
        <w:rPr>
          <w:rFonts w:ascii="Book Antiqua" w:hAnsi="Book Antiqua"/>
          <w:sz w:val="22"/>
          <w:szCs w:val="22"/>
        </w:rPr>
      </w:pPr>
      <w:r w:rsidRPr="00DE762A">
        <w:rPr>
          <w:rFonts w:ascii="Book Antiqua" w:hAnsi="Book Antiqua"/>
          <w:sz w:val="22"/>
          <w:szCs w:val="22"/>
        </w:rPr>
        <w:t>CARACTERÍSTICAS DEL PROYECTO (breve descripción si se aplica)</w:t>
      </w:r>
    </w:p>
    <w:p w:rsidR="004F1729" w:rsidRDefault="004F1729" w:rsidP="004F1729">
      <w:pPr>
        <w:jc w:val="both"/>
        <w:rPr>
          <w:szCs w:val="22"/>
        </w:rPr>
      </w:pPr>
    </w:p>
    <w:p w:rsidR="004F1729" w:rsidRDefault="004F1729" w:rsidP="004F1729">
      <w:pPr>
        <w:jc w:val="both"/>
        <w:rPr>
          <w:szCs w:val="22"/>
        </w:rPr>
      </w:pPr>
      <w:r w:rsidRPr="004F1729">
        <w:rPr>
          <w:szCs w:val="22"/>
        </w:rPr>
        <w:t>El proyecto “</w:t>
      </w:r>
      <w:r w:rsidRPr="004F1729">
        <w:rPr>
          <w:b/>
          <w:szCs w:val="22"/>
        </w:rPr>
        <w:t xml:space="preserve">Concentración y centralización de capital en el sector salud. El caso del Ecuador 2006-2010” </w:t>
      </w:r>
      <w:r w:rsidRPr="004F1729">
        <w:rPr>
          <w:szCs w:val="22"/>
        </w:rPr>
        <w:t xml:space="preserve">tiene como objetivo fundamental analizar el comportamiento de la inversión privada en el sector salud del Ecuador para el periodo 2006-2010. El estudio buscará analizar la progresiva mercantilización de la salud y la expansión y consolidación de las empresas de la salud y su vinculación con los principales grupos financieros del Ecuador. El análisis se centrará en la identificación de los grupos empresariales más importantes en la oferta hospitalaria de salud, en el sector de comercialización y distribución de medicamentos, en el sector de aseguramiento privado de la salud. El estudio también identificará los marcos institucionales y jurídicos que han permitido la expansión y consolidación del sector privado empresarial en el área de la salud. El análisis con los grupos financieros dará cuenta las formas por las cuales las políticas de precios de los servicios de salud contribuyen a fortalecer las posiciones de monopolio de ciertos grupos financieros vinculados a la sector salud. El estudio también explicará y clarificará la dinámica empresarial que se apalanca financieramente en la expansión del gasto del sector público y en el gasto de la seguridad social, sobre todo en el periodo de estudio, para fortalecer su propia tasa de beneficio y expandirse en el mercado ecuatoriano. </w:t>
      </w:r>
    </w:p>
    <w:p w:rsidR="004F1729" w:rsidRDefault="004F1729" w:rsidP="004F1729">
      <w:pPr>
        <w:jc w:val="both"/>
        <w:rPr>
          <w:szCs w:val="22"/>
        </w:rPr>
      </w:pPr>
    </w:p>
    <w:p w:rsidR="004F1729" w:rsidRPr="004F1729" w:rsidRDefault="004F1729" w:rsidP="004F1729">
      <w:pPr>
        <w:jc w:val="both"/>
        <w:rPr>
          <w:szCs w:val="22"/>
        </w:rPr>
      </w:pPr>
      <w:r>
        <w:rPr>
          <w:szCs w:val="22"/>
        </w:rPr>
        <w:t>El proyecto parte de la siguiente hipótesis: e</w:t>
      </w:r>
      <w:r w:rsidRPr="00134DEB">
        <w:rPr>
          <w:szCs w:val="22"/>
        </w:rPr>
        <w:t>n el periodo 2006-2010 se produjeron importantes cambios institucionales, políticos y sociales en el Ecuador que se expresan en un nuevo texto Constitucional y en el cual se retoma el rol de rectoría y de regulación del Estado sobre la economía y el régimen del desarrollo al cual se lo adscribe a las nociones de Buen Vivir. Estos cambios propugnan la consolidación de un sistema de salud para todos los ecuatorianos bajo la regulación y rectoría del Estado ecuatoriano. Sin embargo, estos cambios institucionales no afectaron los procesos de mercantilización de la salud, más bien los consolidaron. En el periodo 2006-2010, la mercantilización de la salud, desde la oferta hospitalaria, hasta la provisión de medicamentos y los planes de aseguramiento, tuvieron una expansión controlada desde grupos económicos, que utilizaron sus posiciones de monopolio para fortalecerse económicamente. Estos grupos financieros y económicos de la salud, están vinculados a la transnacionalización de la economía y han sabido aprovechar la coyuntura de la expansión del gasto público en salud para atraer hacia su órbita de intereses esa expansión del gasto público en el área de la salud. Esto se debió, en lo fundamental, a la inexistencia de un sistema de salud único y al rol de rectoría del Ministerio de Salud Pública.</w:t>
      </w:r>
    </w:p>
    <w:p w:rsidR="004F1729" w:rsidRDefault="004F1729" w:rsidP="004F1729">
      <w:pPr>
        <w:ind w:left="360"/>
        <w:jc w:val="both"/>
        <w:rPr>
          <w:rFonts w:ascii="Book Antiqua" w:hAnsi="Book Antiqua"/>
          <w:sz w:val="22"/>
          <w:szCs w:val="22"/>
        </w:rPr>
      </w:pPr>
    </w:p>
    <w:p w:rsidR="004F1729" w:rsidRPr="00DE762A" w:rsidRDefault="004F1729" w:rsidP="004F1729">
      <w:pPr>
        <w:pStyle w:val="Prrafodelista"/>
        <w:rPr>
          <w:rFonts w:ascii="Book Antiqua" w:hAnsi="Book Antiqua"/>
          <w:sz w:val="22"/>
          <w:szCs w:val="22"/>
        </w:rPr>
      </w:pPr>
    </w:p>
    <w:p w:rsidR="004F1729" w:rsidRDefault="004F1729" w:rsidP="004F1729">
      <w:pPr>
        <w:widowControl w:val="0"/>
        <w:numPr>
          <w:ilvl w:val="0"/>
          <w:numId w:val="8"/>
        </w:numPr>
        <w:jc w:val="both"/>
        <w:rPr>
          <w:rFonts w:ascii="Book Antiqua" w:hAnsi="Book Antiqua"/>
          <w:sz w:val="22"/>
          <w:szCs w:val="22"/>
        </w:rPr>
      </w:pPr>
      <w:r w:rsidRPr="00DE762A">
        <w:rPr>
          <w:rFonts w:ascii="Book Antiqua" w:hAnsi="Book Antiqua"/>
          <w:sz w:val="22"/>
          <w:szCs w:val="22"/>
        </w:rPr>
        <w:t>METAS O RESULTADOS ALCANZADOS EN EL PROYECTO</w:t>
      </w:r>
    </w:p>
    <w:p w:rsidR="004F1729" w:rsidRPr="00DE762A" w:rsidRDefault="004F1729" w:rsidP="004F1729">
      <w:pPr>
        <w:jc w:val="both"/>
        <w:rPr>
          <w:rFonts w:ascii="Book Antiqua" w:hAnsi="Book Antiqua"/>
          <w:sz w:val="22"/>
          <w:szCs w:val="22"/>
        </w:rPr>
      </w:pPr>
    </w:p>
    <w:p w:rsidR="004F1729" w:rsidRPr="00134DEB" w:rsidRDefault="004F1729" w:rsidP="004F1729">
      <w:pPr>
        <w:widowControl w:val="0"/>
        <w:numPr>
          <w:ilvl w:val="0"/>
          <w:numId w:val="10"/>
        </w:numPr>
        <w:jc w:val="both"/>
        <w:rPr>
          <w:szCs w:val="22"/>
        </w:rPr>
      </w:pPr>
      <w:r w:rsidRPr="00134DEB">
        <w:rPr>
          <w:szCs w:val="22"/>
        </w:rPr>
        <w:t>Evaluación de los mecanismos de mercado existentes en el sector salud que han permitido la expansión de las lógicas mercantiles y la debilidad estructural del sector salud y sus políticas públicas correlativas.</w:t>
      </w:r>
    </w:p>
    <w:p w:rsidR="004F1729" w:rsidRPr="00134DEB" w:rsidRDefault="004F1729" w:rsidP="004F1729">
      <w:pPr>
        <w:widowControl w:val="0"/>
        <w:numPr>
          <w:ilvl w:val="0"/>
          <w:numId w:val="10"/>
        </w:numPr>
        <w:jc w:val="both"/>
        <w:rPr>
          <w:szCs w:val="22"/>
        </w:rPr>
      </w:pPr>
      <w:r w:rsidRPr="00134DEB">
        <w:rPr>
          <w:szCs w:val="22"/>
        </w:rPr>
        <w:t>Comprensión de los procesos de centralización y concentración de capital en el sector salud y su incidencia en los alcances de las políticas públicas en el sector salud, y su incidencia en la arquitectura institucional del sector salud.</w:t>
      </w:r>
    </w:p>
    <w:p w:rsidR="004F1729" w:rsidRPr="00134DEB" w:rsidRDefault="004F1729" w:rsidP="004F1729">
      <w:pPr>
        <w:widowControl w:val="0"/>
        <w:numPr>
          <w:ilvl w:val="0"/>
          <w:numId w:val="10"/>
        </w:numPr>
        <w:jc w:val="both"/>
        <w:rPr>
          <w:szCs w:val="22"/>
        </w:rPr>
      </w:pPr>
      <w:r w:rsidRPr="00134DEB">
        <w:rPr>
          <w:szCs w:val="22"/>
        </w:rPr>
        <w:t xml:space="preserve">Estimación y estudio de la información existente sobre los grupos financieros, los procesos de concentración y centralización del capital y su relacionamiento con la política económica, la política pública y la arquitectura institucional del sector </w:t>
      </w:r>
      <w:r w:rsidRPr="00134DEB">
        <w:rPr>
          <w:szCs w:val="22"/>
        </w:rPr>
        <w:lastRenderedPageBreak/>
        <w:t>salud.</w:t>
      </w:r>
    </w:p>
    <w:p w:rsidR="004F1729" w:rsidRDefault="004F1729" w:rsidP="004F1729">
      <w:pPr>
        <w:ind w:left="360"/>
        <w:jc w:val="both"/>
        <w:rPr>
          <w:rFonts w:ascii="Book Antiqua" w:hAnsi="Book Antiqua"/>
          <w:sz w:val="22"/>
          <w:szCs w:val="22"/>
        </w:rPr>
      </w:pPr>
    </w:p>
    <w:p w:rsidR="004F1729" w:rsidRPr="00DE762A" w:rsidRDefault="004F1729" w:rsidP="004F1729">
      <w:pPr>
        <w:ind w:left="360"/>
        <w:jc w:val="both"/>
        <w:rPr>
          <w:rFonts w:ascii="Book Antiqua" w:hAnsi="Book Antiqua"/>
          <w:sz w:val="22"/>
          <w:szCs w:val="22"/>
        </w:rPr>
      </w:pPr>
    </w:p>
    <w:p w:rsidR="004F1729" w:rsidRDefault="004F1729" w:rsidP="004F1729">
      <w:pPr>
        <w:widowControl w:val="0"/>
        <w:numPr>
          <w:ilvl w:val="0"/>
          <w:numId w:val="15"/>
        </w:numPr>
        <w:jc w:val="both"/>
        <w:rPr>
          <w:rFonts w:ascii="Book Antiqua" w:hAnsi="Book Antiqua"/>
          <w:sz w:val="22"/>
          <w:szCs w:val="22"/>
        </w:rPr>
      </w:pPr>
      <w:r w:rsidRPr="00DE762A">
        <w:rPr>
          <w:rFonts w:ascii="Book Antiqua" w:hAnsi="Book Antiqua"/>
          <w:sz w:val="22"/>
          <w:szCs w:val="22"/>
        </w:rPr>
        <w:t xml:space="preserve">CONTENIDO DE LA INVESTIGACIÓN: </w:t>
      </w:r>
    </w:p>
    <w:p w:rsidR="004F1729" w:rsidRPr="00DE762A" w:rsidRDefault="00B41CAA" w:rsidP="004F1729">
      <w:pPr>
        <w:widowControl w:val="0"/>
        <w:numPr>
          <w:ilvl w:val="1"/>
          <w:numId w:val="15"/>
        </w:numPr>
        <w:jc w:val="both"/>
        <w:rPr>
          <w:rFonts w:ascii="Book Antiqua" w:hAnsi="Book Antiqua"/>
          <w:sz w:val="22"/>
          <w:szCs w:val="22"/>
        </w:rPr>
      </w:pPr>
      <w:r>
        <w:rPr>
          <w:rFonts w:ascii="Book Antiqua" w:hAnsi="Book Antiqua"/>
          <w:sz w:val="22"/>
          <w:szCs w:val="22"/>
        </w:rPr>
        <w:t>(Ver Informe Final)</w:t>
      </w:r>
    </w:p>
    <w:p w:rsidR="004F1729" w:rsidRPr="00DE762A" w:rsidRDefault="004F1729" w:rsidP="004F1729">
      <w:pPr>
        <w:widowControl w:val="0"/>
        <w:numPr>
          <w:ilvl w:val="0"/>
          <w:numId w:val="14"/>
        </w:numPr>
        <w:jc w:val="both"/>
        <w:rPr>
          <w:rFonts w:ascii="Book Antiqua" w:hAnsi="Book Antiqua"/>
          <w:sz w:val="22"/>
          <w:szCs w:val="22"/>
        </w:rPr>
      </w:pPr>
      <w:r w:rsidRPr="00DE762A">
        <w:rPr>
          <w:rFonts w:ascii="Book Antiqua" w:hAnsi="Book Antiqua"/>
          <w:sz w:val="22"/>
          <w:szCs w:val="22"/>
        </w:rPr>
        <w:t>Introducción</w:t>
      </w:r>
      <w:r>
        <w:rPr>
          <w:rFonts w:ascii="Book Antiqua" w:hAnsi="Book Antiqua"/>
          <w:sz w:val="22"/>
          <w:szCs w:val="22"/>
        </w:rPr>
        <w:t>.</w:t>
      </w:r>
    </w:p>
    <w:p w:rsidR="004F1729" w:rsidRPr="00DE762A" w:rsidRDefault="004F1729" w:rsidP="004F1729">
      <w:pPr>
        <w:widowControl w:val="0"/>
        <w:numPr>
          <w:ilvl w:val="0"/>
          <w:numId w:val="14"/>
        </w:numPr>
        <w:jc w:val="both"/>
        <w:rPr>
          <w:rFonts w:ascii="Book Antiqua" w:hAnsi="Book Antiqua"/>
          <w:sz w:val="22"/>
          <w:szCs w:val="22"/>
        </w:rPr>
      </w:pPr>
      <w:r w:rsidRPr="00DE762A">
        <w:rPr>
          <w:rFonts w:ascii="Book Antiqua" w:hAnsi="Book Antiqua"/>
          <w:sz w:val="22"/>
          <w:szCs w:val="22"/>
        </w:rPr>
        <w:t>Índice</w:t>
      </w:r>
      <w:r>
        <w:rPr>
          <w:rFonts w:ascii="Book Antiqua" w:hAnsi="Book Antiqua"/>
          <w:sz w:val="22"/>
          <w:szCs w:val="22"/>
        </w:rPr>
        <w:t>.</w:t>
      </w:r>
    </w:p>
    <w:p w:rsidR="004F1729" w:rsidRPr="00DE762A" w:rsidRDefault="004F1729" w:rsidP="004F1729">
      <w:pPr>
        <w:widowControl w:val="0"/>
        <w:numPr>
          <w:ilvl w:val="0"/>
          <w:numId w:val="14"/>
        </w:numPr>
        <w:jc w:val="both"/>
        <w:rPr>
          <w:rFonts w:ascii="Book Antiqua" w:hAnsi="Book Antiqua"/>
          <w:sz w:val="22"/>
          <w:szCs w:val="22"/>
        </w:rPr>
      </w:pPr>
      <w:r w:rsidRPr="00DE762A">
        <w:rPr>
          <w:rFonts w:ascii="Book Antiqua" w:hAnsi="Book Antiqua"/>
          <w:sz w:val="22"/>
          <w:szCs w:val="22"/>
        </w:rPr>
        <w:t>Estructura por capítulos</w:t>
      </w:r>
      <w:r>
        <w:rPr>
          <w:rFonts w:ascii="Book Antiqua" w:hAnsi="Book Antiqua"/>
          <w:sz w:val="22"/>
          <w:szCs w:val="22"/>
        </w:rPr>
        <w:t xml:space="preserve"> y subcapítulos.</w:t>
      </w:r>
    </w:p>
    <w:p w:rsidR="004F1729" w:rsidRPr="00DE762A" w:rsidRDefault="004F1729" w:rsidP="004F1729">
      <w:pPr>
        <w:widowControl w:val="0"/>
        <w:numPr>
          <w:ilvl w:val="0"/>
          <w:numId w:val="14"/>
        </w:numPr>
        <w:jc w:val="both"/>
        <w:rPr>
          <w:rFonts w:ascii="Book Antiqua" w:hAnsi="Book Antiqua"/>
          <w:sz w:val="22"/>
          <w:szCs w:val="22"/>
        </w:rPr>
      </w:pPr>
      <w:r w:rsidRPr="00DE762A">
        <w:rPr>
          <w:rFonts w:ascii="Book Antiqua" w:hAnsi="Book Antiqua"/>
          <w:sz w:val="22"/>
          <w:szCs w:val="22"/>
        </w:rPr>
        <w:t>Conclusiones</w:t>
      </w:r>
      <w:r>
        <w:rPr>
          <w:rFonts w:ascii="Book Antiqua" w:hAnsi="Book Antiqua"/>
          <w:sz w:val="22"/>
          <w:szCs w:val="22"/>
        </w:rPr>
        <w:t>.</w:t>
      </w:r>
    </w:p>
    <w:p w:rsidR="004F1729" w:rsidRPr="00DE762A" w:rsidRDefault="004F1729" w:rsidP="004F1729">
      <w:pPr>
        <w:widowControl w:val="0"/>
        <w:numPr>
          <w:ilvl w:val="0"/>
          <w:numId w:val="14"/>
        </w:numPr>
        <w:jc w:val="both"/>
        <w:rPr>
          <w:rFonts w:ascii="Book Antiqua" w:hAnsi="Book Antiqua"/>
          <w:sz w:val="22"/>
          <w:szCs w:val="22"/>
        </w:rPr>
      </w:pPr>
      <w:r w:rsidRPr="00DE762A">
        <w:rPr>
          <w:rFonts w:ascii="Book Antiqua" w:hAnsi="Book Antiqua"/>
          <w:sz w:val="22"/>
          <w:szCs w:val="22"/>
        </w:rPr>
        <w:t>Recomendaciones</w:t>
      </w:r>
      <w:r>
        <w:rPr>
          <w:rFonts w:ascii="Book Antiqua" w:hAnsi="Book Antiqua"/>
          <w:sz w:val="22"/>
          <w:szCs w:val="22"/>
        </w:rPr>
        <w:t>.</w:t>
      </w:r>
    </w:p>
    <w:p w:rsidR="004F1729" w:rsidRPr="00DE762A" w:rsidRDefault="004F1729" w:rsidP="004F1729">
      <w:pPr>
        <w:widowControl w:val="0"/>
        <w:numPr>
          <w:ilvl w:val="0"/>
          <w:numId w:val="14"/>
        </w:numPr>
        <w:jc w:val="both"/>
        <w:rPr>
          <w:rFonts w:ascii="Book Antiqua" w:hAnsi="Book Antiqua"/>
          <w:sz w:val="22"/>
          <w:szCs w:val="22"/>
        </w:rPr>
      </w:pPr>
      <w:r w:rsidRPr="00DE762A">
        <w:rPr>
          <w:rFonts w:ascii="Book Antiqua" w:hAnsi="Book Antiqua"/>
          <w:sz w:val="22"/>
          <w:szCs w:val="22"/>
        </w:rPr>
        <w:t>Bibliografía.</w:t>
      </w:r>
    </w:p>
    <w:p w:rsidR="004F1729" w:rsidRDefault="004F1729" w:rsidP="004F1729">
      <w:pPr>
        <w:ind w:left="360"/>
        <w:jc w:val="both"/>
        <w:rPr>
          <w:rFonts w:ascii="Book Antiqua" w:hAnsi="Book Antiqua"/>
          <w:sz w:val="22"/>
          <w:szCs w:val="22"/>
        </w:rPr>
      </w:pPr>
    </w:p>
    <w:p w:rsidR="004F1729" w:rsidRDefault="004F1729" w:rsidP="004F1729">
      <w:pPr>
        <w:ind w:left="360"/>
        <w:jc w:val="both"/>
        <w:rPr>
          <w:rFonts w:ascii="Book Antiqua" w:hAnsi="Book Antiqua"/>
          <w:sz w:val="22"/>
          <w:szCs w:val="22"/>
        </w:rPr>
      </w:pPr>
    </w:p>
    <w:p w:rsidR="004F1729" w:rsidRDefault="004F1729" w:rsidP="004F1729">
      <w:pPr>
        <w:ind w:left="360"/>
        <w:jc w:val="both"/>
        <w:rPr>
          <w:rFonts w:ascii="Book Antiqua" w:hAnsi="Book Antiqua"/>
          <w:sz w:val="22"/>
          <w:szCs w:val="22"/>
        </w:rPr>
      </w:pPr>
    </w:p>
    <w:p w:rsidR="004F1729" w:rsidRDefault="004F1729" w:rsidP="004F1729">
      <w:pPr>
        <w:ind w:left="360"/>
        <w:jc w:val="both"/>
        <w:rPr>
          <w:rFonts w:ascii="Book Antiqua" w:hAnsi="Book Antiqua"/>
          <w:sz w:val="22"/>
          <w:szCs w:val="22"/>
        </w:rPr>
      </w:pPr>
    </w:p>
    <w:p w:rsidR="004F1729" w:rsidRDefault="004F1729" w:rsidP="004F1729">
      <w:pPr>
        <w:ind w:left="360"/>
        <w:jc w:val="center"/>
        <w:rPr>
          <w:rFonts w:ascii="Book Antiqua" w:hAnsi="Book Antiqua"/>
          <w:sz w:val="22"/>
          <w:szCs w:val="22"/>
        </w:rPr>
      </w:pPr>
    </w:p>
    <w:p w:rsidR="004F1729" w:rsidRDefault="004F1729" w:rsidP="004F1729">
      <w:pPr>
        <w:ind w:left="360"/>
        <w:jc w:val="center"/>
        <w:rPr>
          <w:rFonts w:ascii="Book Antiqua" w:hAnsi="Book Antiqua"/>
          <w:sz w:val="22"/>
          <w:szCs w:val="22"/>
        </w:rPr>
      </w:pPr>
    </w:p>
    <w:p w:rsidR="004F1729" w:rsidRDefault="004F1729" w:rsidP="004F1729">
      <w:pPr>
        <w:ind w:left="360"/>
        <w:jc w:val="center"/>
        <w:rPr>
          <w:rFonts w:ascii="Book Antiqua" w:hAnsi="Book Antiqua"/>
          <w:sz w:val="22"/>
          <w:szCs w:val="22"/>
        </w:rPr>
      </w:pPr>
    </w:p>
    <w:p w:rsidR="004F1729" w:rsidRDefault="004F1729" w:rsidP="004F1729">
      <w:pPr>
        <w:ind w:left="3240" w:firstLine="360"/>
        <w:rPr>
          <w:rFonts w:ascii="Book Antiqua" w:hAnsi="Book Antiqua"/>
          <w:sz w:val="22"/>
          <w:szCs w:val="22"/>
        </w:rPr>
      </w:pPr>
      <w:r>
        <w:rPr>
          <w:rFonts w:ascii="Book Antiqua" w:hAnsi="Book Antiqua"/>
          <w:sz w:val="22"/>
          <w:szCs w:val="22"/>
        </w:rPr>
        <w:t xml:space="preserve">f) </w:t>
      </w:r>
    </w:p>
    <w:p w:rsidR="004F1729" w:rsidRPr="00DE762A" w:rsidRDefault="004F1729" w:rsidP="004F1729">
      <w:pPr>
        <w:ind w:left="360"/>
        <w:jc w:val="center"/>
        <w:rPr>
          <w:rFonts w:ascii="Book Antiqua" w:hAnsi="Book Antiqua"/>
          <w:sz w:val="22"/>
          <w:szCs w:val="22"/>
        </w:rPr>
      </w:pPr>
      <w:r>
        <w:rPr>
          <w:rFonts w:ascii="Book Antiqua" w:hAnsi="Book Antiqua"/>
          <w:sz w:val="22"/>
          <w:szCs w:val="22"/>
        </w:rPr>
        <w:t xml:space="preserve">Director de Proyecto </w:t>
      </w:r>
    </w:p>
    <w:p w:rsidR="00254E7E" w:rsidRPr="00134DEB" w:rsidRDefault="00254E7E" w:rsidP="00134DEB">
      <w:pPr>
        <w:jc w:val="both"/>
        <w:rPr>
          <w:szCs w:val="22"/>
        </w:rPr>
      </w:pPr>
    </w:p>
    <w:p w:rsidR="004F1729" w:rsidRDefault="004F1729">
      <w:pPr>
        <w:rPr>
          <w:szCs w:val="22"/>
        </w:rPr>
      </w:pPr>
      <w:r>
        <w:rPr>
          <w:szCs w:val="22"/>
        </w:rPr>
        <w:br w:type="page"/>
      </w:r>
    </w:p>
    <w:p w:rsidR="004F1729" w:rsidRPr="004F1729" w:rsidRDefault="004F1729" w:rsidP="004F1729">
      <w:pPr>
        <w:jc w:val="center"/>
        <w:rPr>
          <w:b/>
          <w:sz w:val="32"/>
          <w:szCs w:val="32"/>
        </w:rPr>
      </w:pPr>
      <w:r w:rsidRPr="004F1729">
        <w:rPr>
          <w:b/>
          <w:sz w:val="32"/>
          <w:szCs w:val="32"/>
        </w:rPr>
        <w:t>INFORME FINAL DEL PROYECTO</w:t>
      </w:r>
    </w:p>
    <w:p w:rsidR="004F1729" w:rsidRDefault="004F1729" w:rsidP="004F1729">
      <w:pPr>
        <w:jc w:val="center"/>
        <w:rPr>
          <w:b/>
          <w:sz w:val="32"/>
          <w:szCs w:val="22"/>
        </w:rPr>
      </w:pPr>
    </w:p>
    <w:p w:rsidR="004F1729" w:rsidRDefault="004F1729" w:rsidP="004F1729">
      <w:pPr>
        <w:jc w:val="center"/>
        <w:rPr>
          <w:b/>
          <w:sz w:val="32"/>
          <w:szCs w:val="22"/>
        </w:rPr>
      </w:pPr>
      <w:r w:rsidRPr="004F1729">
        <w:rPr>
          <w:b/>
          <w:sz w:val="32"/>
          <w:szCs w:val="22"/>
        </w:rPr>
        <w:t xml:space="preserve">CONCENTRACIÓN Y CENTRALIZACIÓN DE CAPITAL EN EL SECTOR SALUD. </w:t>
      </w:r>
    </w:p>
    <w:p w:rsidR="004F1729" w:rsidRPr="004F1729" w:rsidRDefault="004F1729" w:rsidP="004F1729">
      <w:pPr>
        <w:jc w:val="center"/>
        <w:rPr>
          <w:b/>
          <w:sz w:val="32"/>
          <w:szCs w:val="32"/>
        </w:rPr>
      </w:pPr>
      <w:r w:rsidRPr="004F1729">
        <w:rPr>
          <w:b/>
          <w:sz w:val="32"/>
          <w:szCs w:val="22"/>
        </w:rPr>
        <w:t>EL CASO DEL ECUADOR 2006-2010</w:t>
      </w:r>
    </w:p>
    <w:p w:rsidR="004F1729" w:rsidRDefault="004F1729" w:rsidP="004F1729">
      <w:pPr>
        <w:jc w:val="both"/>
        <w:rPr>
          <w:rFonts w:ascii="Book Antiqua" w:hAnsi="Book Antiqua"/>
          <w:b/>
          <w:sz w:val="32"/>
          <w:szCs w:val="32"/>
        </w:rPr>
      </w:pPr>
    </w:p>
    <w:p w:rsidR="004F1729" w:rsidRPr="004F1729" w:rsidRDefault="004F1729" w:rsidP="004F1729">
      <w:pPr>
        <w:jc w:val="both"/>
        <w:rPr>
          <w:b/>
          <w:szCs w:val="22"/>
        </w:rPr>
      </w:pPr>
    </w:p>
    <w:p w:rsidR="004F1729" w:rsidRPr="004F1729" w:rsidRDefault="004F1729" w:rsidP="004F1729">
      <w:pPr>
        <w:jc w:val="both"/>
        <w:rPr>
          <w:b/>
          <w:szCs w:val="22"/>
        </w:rPr>
      </w:pPr>
      <w:r w:rsidRPr="004F1729">
        <w:rPr>
          <w:b/>
          <w:szCs w:val="22"/>
        </w:rPr>
        <w:t>Introducción</w:t>
      </w:r>
    </w:p>
    <w:p w:rsidR="00254E7E" w:rsidRPr="004F1729" w:rsidRDefault="00254E7E" w:rsidP="004F1729">
      <w:pPr>
        <w:pStyle w:val="Prrafodelista"/>
        <w:ind w:left="720"/>
        <w:jc w:val="both"/>
        <w:rPr>
          <w:szCs w:val="22"/>
        </w:rPr>
      </w:pPr>
    </w:p>
    <w:p w:rsidR="00254E7E" w:rsidRPr="00134DEB" w:rsidRDefault="00254E7E" w:rsidP="00134DEB">
      <w:pPr>
        <w:jc w:val="both"/>
      </w:pPr>
      <w:r w:rsidRPr="00134DEB">
        <w:t xml:space="preserve">Durante el periodo de ajuste macrofiscal y reforma estructural (1982-2005), el sector salud fue una de las variables de ajuste para la estabilidad macroeconómica. En efecto, en la década de los años noventa, el gasto público en salud estuvo en alrededor del 1% del PIB en promedio para todo el periodo. Esto significó un debilitamiento institucional del sector y un agravamiento de las condiciones de vida y de salud de la población ecuatoriana. En ese mismo periodo, los indicadores de morbi-mortalidad se incrementaron al tiempo que se deterioraron las condiciones de trabajo del personal médico y paramédico. Al no existir recursos para el sector salud, la población ecuatoriana que tenía posibilidades económicas tuvo que recurrir al sector privado y al gasto de bolsillo para atender sus necesidades en salud. Aquellos sectores poblacionales que no tenían condiciones económicas para acceder al sector privado de la salud, sufrieron directamente las consecuencias y sus condiciones de vida se deterioraron. </w:t>
      </w:r>
    </w:p>
    <w:p w:rsidR="00254E7E" w:rsidRPr="00134DEB" w:rsidRDefault="00254E7E" w:rsidP="00134DEB">
      <w:pPr>
        <w:jc w:val="both"/>
      </w:pPr>
    </w:p>
    <w:p w:rsidR="00254E7E" w:rsidRPr="00134DEB" w:rsidRDefault="00254E7E" w:rsidP="00134DEB">
      <w:pPr>
        <w:jc w:val="both"/>
      </w:pPr>
      <w:r w:rsidRPr="00134DEB">
        <w:t xml:space="preserve">El Banco Mundial, conjuntamente con la cooperación internacional al desarrollo, estuvieron conscientes que la reducción del gasto público en salud podía contribuir al deterioro de las condiciones de vida de la población, y para el efecto colaboraron en la creación de programas específicos para el sector salud que buscaban su privatización y la creación de mecanismos de mercado para la salud. Producto de esta intervención del Banco Mundial se crearon los proyectos Modersa y Fasbase, para el sector salud. </w:t>
      </w:r>
    </w:p>
    <w:p w:rsidR="00254E7E" w:rsidRPr="00134DEB" w:rsidRDefault="00254E7E" w:rsidP="00134DEB">
      <w:pPr>
        <w:jc w:val="both"/>
      </w:pPr>
    </w:p>
    <w:p w:rsidR="00254E7E" w:rsidRPr="00134DEB" w:rsidRDefault="00254E7E" w:rsidP="00134DEB">
      <w:pPr>
        <w:jc w:val="both"/>
      </w:pPr>
      <w:r w:rsidRPr="00134DEB">
        <w:t xml:space="preserve">Estos proyectos tenían como propósito la creación de marcos institucionales que permitan el desarrollo de actividades empresariales en el sector salud con el rol de rectoría del Ministerio de Salud Pública. Muchos médicos y profesionales de la salud, en virtud de que no existía gasto fiscal para el sector salud, decidieron pasar al ámbito privado y utilizar la salud como un servicio privado sometido a las leyes de la oferta y la demanda. En ese contexto, proliferan las clínicas privadas, las farmacias, las aseguradoras de salud, entre otras iniciativas, y que tenían en los marcos regulatorios de descentralización, desregulación, privatización y seguridad jurídica las posibilidades de expansión y consolidación. </w:t>
      </w:r>
    </w:p>
    <w:p w:rsidR="00254E7E" w:rsidRPr="00134DEB" w:rsidRDefault="00254E7E" w:rsidP="00134DEB">
      <w:pPr>
        <w:jc w:val="both"/>
      </w:pPr>
    </w:p>
    <w:p w:rsidR="00254E7E" w:rsidRPr="00134DEB" w:rsidRDefault="00254E7E" w:rsidP="00134DEB">
      <w:pPr>
        <w:jc w:val="both"/>
      </w:pPr>
      <w:r w:rsidRPr="00134DEB">
        <w:t xml:space="preserve">La privatización del sector salud implica, en consecuencia, la afluencia de varias empresas hacia el sector salud al que consideran rentable. Este proceso de apertura de mercado y de conversión de la salud en una mercancía, la economía política lo denomina “concentración de capital”. En este proceso de concentración de capital se conforma el “mercado de la salud”, bajo los parámetros del costo-beneficio y totalmente vinculado a las lógicas del mercado. La salud se convierte en un “servicio” en donde hay una “oferta de salud” y una “demanda”. Los precios equilibran este mercado y permiten, al mismo tiempo, que operen los proceso que la economía política define como “centralización del capital”, es decir, aquellos empresarios y empresas que tenían mayor capacidad económica y, en consecuencia, podían ampliar su capacidad tecnológica y su política de precios, se apoderan de porciones cada vez crecientes de mercado y se convierten en monopolios. </w:t>
      </w:r>
    </w:p>
    <w:p w:rsidR="00254E7E" w:rsidRPr="00134DEB" w:rsidRDefault="00254E7E" w:rsidP="00134DEB">
      <w:pPr>
        <w:jc w:val="both"/>
      </w:pPr>
    </w:p>
    <w:p w:rsidR="00254E7E" w:rsidRPr="00134DEB" w:rsidRDefault="00254E7E" w:rsidP="00134DEB">
      <w:pPr>
        <w:jc w:val="both"/>
      </w:pPr>
      <w:r w:rsidRPr="00134DEB">
        <w:t xml:space="preserve">Para que pueda tenerse una idea de esos procesos, las dos distribuidoras farmacéuticas más grandes del país Difare y Farmacias Fybeca, tuvieron un volumen de ingresos para el año 2009 de 913 millones de dólares, de los cuales el 52% le corresponde al grupo Difare, quien a su vez es manejado por una sola familia Cueva González. Existen también nuevas inversiones en hospitales y clínicas privadas, en especial en la zona austral del Ecuador. De su parte, la producción de medicamentos, sobre todo aquellos de marca, están controlados casi en su totalidad por corporaciones farmacéuticas transnacionales. Todos estos sectores empresariales utilizan su política de precios para consolidar sus posiciones de mercado y ampliar el horizonte de sus propios negocios. </w:t>
      </w:r>
    </w:p>
    <w:p w:rsidR="00254E7E" w:rsidRPr="00134DEB" w:rsidRDefault="00254E7E" w:rsidP="00134DEB">
      <w:pPr>
        <w:jc w:val="both"/>
      </w:pPr>
    </w:p>
    <w:p w:rsidR="00254E7E" w:rsidRPr="00134DEB" w:rsidRDefault="00254E7E" w:rsidP="00134DEB">
      <w:pPr>
        <w:jc w:val="both"/>
      </w:pPr>
      <w:r w:rsidRPr="00134DEB">
        <w:t>Ahora bien, los procesos de privatización de la salud y la desregulación del sector, tuvieron un cambio importante en el  periodo 2006-2010, cuando se aprueban importantes cambios institucionales, políticos y jurídicos, entre ellos, un nuevo texto Constitucional. Empero de ello, el incremento del gasto en salud se produce sin cambiar la estructura misma del sector salud que está orientado y definido desde la lógica de la eficiencia, la rentabilidad y la competitividad, de un sector privado en la salud relativamente fuerte y vinculado a poderosos grupos económicos. El Estado, en este contexto, se convierte en un actor más que se autolimita ante el sector privado cuando reconoce que su ámbito más importante es la rectoría del sector. Entonces, el estudio y la comprensión de estos fenómenos a la larga van a permitir la comprensión de las políticas públicas de salud y sus horizontes en el mediano plazo, porque las lógicas costo-beneficio, que forman parte de las lógicas mercantiles ahora forman también parte de las políticas públicas en el sector salud. Además está el hecho de que las décadas de ajuste macrofiscal debilitaron de tal manera al sector salud que es muy difícil que el Ecuador pueda salir de las dinámicas del mercado para definir sus prioridades en el sector salud. Los resultados de esta investigación se incorporarán al estudio de la malla curricular en economía de la salud al interior del posgrado de salud pública. También se socializarán con los responsables de la salud pública en el Ecuador. Estos estudios también podrían ayudar a la identificación de una malla curricular para un posgrado específico en economía y salud.</w:t>
      </w:r>
    </w:p>
    <w:p w:rsidR="00134DEB" w:rsidRPr="00134DEB" w:rsidRDefault="00134DEB" w:rsidP="00134DEB">
      <w:pPr>
        <w:pStyle w:val="Prrafodelista"/>
        <w:ind w:left="1134"/>
        <w:jc w:val="both"/>
        <w:rPr>
          <w:rFonts w:ascii="Times New Roman" w:hAnsi="Times New Roman"/>
          <w:color w:val="000000"/>
          <w:szCs w:val="22"/>
        </w:rPr>
      </w:pPr>
    </w:p>
    <w:p w:rsidR="00134DEB" w:rsidRPr="00134DEB" w:rsidRDefault="00134DEB" w:rsidP="004F1729">
      <w:pPr>
        <w:rPr>
          <w:b/>
          <w:szCs w:val="36"/>
        </w:rPr>
      </w:pPr>
    </w:p>
    <w:p w:rsidR="00134DEB" w:rsidRPr="00134DEB" w:rsidRDefault="00134DEB" w:rsidP="00134DEB">
      <w:pPr>
        <w:rPr>
          <w:b/>
          <w:szCs w:val="36"/>
        </w:rPr>
      </w:pPr>
      <w:r w:rsidRPr="00134DEB">
        <w:rPr>
          <w:b/>
          <w:szCs w:val="36"/>
        </w:rPr>
        <w:br w:type="page"/>
      </w:r>
    </w:p>
    <w:p w:rsidR="00254E7E" w:rsidRPr="00134DEB" w:rsidRDefault="00254E7E" w:rsidP="00134DEB">
      <w:pPr>
        <w:jc w:val="center"/>
        <w:rPr>
          <w:b/>
          <w:szCs w:val="36"/>
        </w:rPr>
      </w:pPr>
    </w:p>
    <w:p w:rsidR="00254E7E" w:rsidRPr="00134DEB" w:rsidRDefault="00254E7E" w:rsidP="00134DEB">
      <w:pPr>
        <w:jc w:val="center"/>
        <w:rPr>
          <w:b/>
          <w:szCs w:val="36"/>
        </w:rPr>
      </w:pPr>
    </w:p>
    <w:p w:rsidR="004F1729" w:rsidRDefault="004F1729" w:rsidP="00134DEB">
      <w:pPr>
        <w:jc w:val="center"/>
        <w:rPr>
          <w:b/>
          <w:szCs w:val="36"/>
        </w:rPr>
      </w:pPr>
      <w:r>
        <w:rPr>
          <w:b/>
          <w:szCs w:val="36"/>
        </w:rPr>
        <w:t>Capítulo 1</w:t>
      </w:r>
    </w:p>
    <w:p w:rsidR="004F1729" w:rsidRDefault="004F1729" w:rsidP="00134DEB">
      <w:pPr>
        <w:jc w:val="center"/>
        <w:rPr>
          <w:b/>
          <w:szCs w:val="36"/>
        </w:rPr>
      </w:pPr>
    </w:p>
    <w:p w:rsidR="001D418E" w:rsidRPr="00134DEB" w:rsidRDefault="001D418E" w:rsidP="00134DEB">
      <w:pPr>
        <w:jc w:val="center"/>
        <w:rPr>
          <w:b/>
          <w:szCs w:val="36"/>
        </w:rPr>
      </w:pPr>
      <w:r w:rsidRPr="00134DEB">
        <w:rPr>
          <w:b/>
          <w:szCs w:val="36"/>
        </w:rPr>
        <w:t>La privatización de la salud en el Ecuador</w:t>
      </w:r>
    </w:p>
    <w:p w:rsidR="00EC7166" w:rsidRPr="00134DEB" w:rsidRDefault="00EC7166" w:rsidP="00134DEB">
      <w:pPr>
        <w:jc w:val="center"/>
        <w:rPr>
          <w:b/>
          <w:szCs w:val="36"/>
        </w:rPr>
      </w:pPr>
      <w:r w:rsidRPr="00134DEB">
        <w:rPr>
          <w:b/>
          <w:szCs w:val="36"/>
        </w:rPr>
        <w:t xml:space="preserve">Neoinstitucionalismo y reforma estructural en </w:t>
      </w:r>
      <w:r w:rsidR="001D418E" w:rsidRPr="00134DEB">
        <w:rPr>
          <w:b/>
          <w:szCs w:val="36"/>
        </w:rPr>
        <w:t>el sector salud: el caso ecuatoriano 2006-2010</w:t>
      </w:r>
    </w:p>
    <w:p w:rsidR="00EC7166" w:rsidRPr="00134DEB" w:rsidRDefault="00EC7166" w:rsidP="00134DEB"/>
    <w:p w:rsidR="00EC7166" w:rsidRPr="00134DEB" w:rsidRDefault="00EC7166" w:rsidP="00134DEB">
      <w:pPr>
        <w:jc w:val="both"/>
        <w:rPr>
          <w:b/>
        </w:rPr>
      </w:pPr>
    </w:p>
    <w:p w:rsidR="00591CCD" w:rsidRPr="00134DEB" w:rsidRDefault="00591CCD" w:rsidP="00134DEB">
      <w:pPr>
        <w:rPr>
          <w:b/>
          <w:szCs w:val="28"/>
        </w:rPr>
      </w:pPr>
    </w:p>
    <w:p w:rsidR="00EC7166" w:rsidRPr="00134DEB" w:rsidRDefault="00EC7166" w:rsidP="00134DEB">
      <w:pPr>
        <w:rPr>
          <w:b/>
          <w:szCs w:val="28"/>
        </w:rPr>
      </w:pPr>
      <w:r w:rsidRPr="00134DEB">
        <w:rPr>
          <w:b/>
          <w:szCs w:val="28"/>
        </w:rPr>
        <w:t>El</w:t>
      </w:r>
      <w:r w:rsidR="001D418E" w:rsidRPr="00134DEB">
        <w:rPr>
          <w:b/>
          <w:szCs w:val="28"/>
        </w:rPr>
        <w:t xml:space="preserve"> sector salud como parte </w:t>
      </w:r>
      <w:r w:rsidR="0096754B">
        <w:rPr>
          <w:b/>
          <w:szCs w:val="28"/>
        </w:rPr>
        <w:t>del gasto social del FMI</w:t>
      </w:r>
    </w:p>
    <w:p w:rsidR="00EC7166" w:rsidRPr="00134DEB" w:rsidRDefault="00EC7166" w:rsidP="00134DEB">
      <w:pPr>
        <w:jc w:val="both"/>
      </w:pPr>
    </w:p>
    <w:p w:rsidR="001D418E" w:rsidRPr="00134DEB" w:rsidRDefault="001D418E" w:rsidP="00134DEB">
      <w:pPr>
        <w:jc w:val="both"/>
      </w:pPr>
      <w:r w:rsidRPr="00134DEB">
        <w:t>El sector salud forma parte de lo que el Banco Mundial denominó como el “sector social”, para separarlo del “sector real” de la economía y del sector financiero. Esta separación se la hizo al tenor de las recomendaciones de disciplina y austeridad fiscal del Fondo Monetario Internacional (FMI) y que constaban como requisitos obligatorios en las Cartas de Intención suscritas con el FMI. Se trató de una clasificación estratégica que tenía como propósito liberar al sector financiero, privatizar al sector real y reducir a su mínima expresión al sector social de tal manera que permita su focalización.</w:t>
      </w:r>
    </w:p>
    <w:p w:rsidR="001D418E" w:rsidRPr="00134DEB" w:rsidRDefault="001D418E" w:rsidP="00134DEB">
      <w:pPr>
        <w:jc w:val="both"/>
      </w:pPr>
    </w:p>
    <w:p w:rsidR="00254E7E" w:rsidRPr="00134DEB" w:rsidRDefault="001D418E" w:rsidP="00134DEB">
      <w:pPr>
        <w:jc w:val="both"/>
      </w:pPr>
      <w:r w:rsidRPr="00134DEB">
        <w:t>La comprensión del sector salud como parte del “sector social” daba cuenta de una separación social entre actividades y procesos íntimamente vinculados. En efecto, no puede haber producción sin sociedad</w:t>
      </w:r>
      <w:r w:rsidR="00254E7E" w:rsidRPr="00134DEB">
        <w:t>. Lo “social” strictu sensu incorpora también a la producción y distribución, así como a los diferentes usos que una sociedad puede dar a su moneda. Empero, para el FMI y para el Banco Mundial, era necesario separar la producción de las finanzas y también de la sociedad. Esa separación tenía como objetivo su transferencia a mecanismos de mercado, vale decir, su privatización.</w:t>
      </w:r>
    </w:p>
    <w:p w:rsidR="00254E7E" w:rsidRPr="00134DEB" w:rsidRDefault="00254E7E" w:rsidP="00134DEB">
      <w:pPr>
        <w:jc w:val="both"/>
      </w:pPr>
    </w:p>
    <w:p w:rsidR="00134DEB" w:rsidRPr="00134DEB" w:rsidRDefault="00254E7E" w:rsidP="00134DEB">
      <w:pPr>
        <w:jc w:val="both"/>
      </w:pPr>
      <w:r w:rsidRPr="00134DEB">
        <w:t>En consecuencia, el hecho de considerar al sector salud como parte del sector social y desvinculado de la producción y de la moneda, fue parte de la estrategia neoliberal del FMI y del Banco Mundial. De esta forma se podían privatizar todas las esferas de la vida social sin que existan resistencias y confrontaciones sociales. Considerar a la salud como parte del sector social implica inscribirse al interior de las coordenadas del neoliberalismo.</w:t>
      </w:r>
    </w:p>
    <w:p w:rsidR="00134DEB" w:rsidRPr="00134DEB" w:rsidRDefault="00134DEB" w:rsidP="00134DEB">
      <w:pPr>
        <w:jc w:val="both"/>
      </w:pPr>
    </w:p>
    <w:p w:rsidR="00134DEB" w:rsidRPr="00134DEB" w:rsidRDefault="00134DEB" w:rsidP="00134DEB">
      <w:pPr>
        <w:jc w:val="both"/>
      </w:pPr>
      <w:r w:rsidRPr="00134DEB">
        <w:t>En efecto, el “sector salud” no existe fuera del paradigma neoliberal. Toda la referencia a la salud como un sector alejado de las demás actividades de la sociedad y susceptible de ser cuantificado como actividades específicas de curación, es una referencia cuya episteme es neoliberal.</w:t>
      </w:r>
    </w:p>
    <w:p w:rsidR="00134DEB" w:rsidRPr="00134DEB" w:rsidRDefault="00134DEB" w:rsidP="00134DEB">
      <w:pPr>
        <w:jc w:val="both"/>
      </w:pPr>
    </w:p>
    <w:p w:rsidR="00A4326F" w:rsidRDefault="00134DEB" w:rsidP="00134DEB">
      <w:pPr>
        <w:jc w:val="both"/>
      </w:pPr>
      <w:r w:rsidRPr="00134DEB">
        <w:t>Para el FMI, el “sector social” fue la variable de ajuste de su programa económico y financiero. Al interior del “sector social”, el FMI comprendía todos los gastos que el gobierno realizaba en educación, en salud, en seguridad y asistencia social. Todo el rigor monetario del FMI se concentró en vigilar de manera exhaustiva los gastos que el gobierno realizaba en este sector con un propósito político bastante claro: transformar de manera radical los patrones de acumulación del capitalismo en el Ecuador y vincular la economía ecuatoriana con la globalización financiera internacional.</w:t>
      </w:r>
    </w:p>
    <w:p w:rsidR="00A4326F" w:rsidRDefault="00A4326F" w:rsidP="00134DEB">
      <w:pPr>
        <w:jc w:val="both"/>
      </w:pPr>
    </w:p>
    <w:p w:rsidR="0096754B" w:rsidRDefault="00A4326F" w:rsidP="00134DEB">
      <w:pPr>
        <w:jc w:val="both"/>
      </w:pPr>
      <w:r>
        <w:t>Entonces, cuando se visualiza al “sector salud” se está haciendo referencia a toda una estrategia política y económica, y también a una geopolítica</w:t>
      </w:r>
      <w:r w:rsidR="004F1729">
        <w:t>, de ahí que sea importante comprender a la estrategia de privatización del FMI como una propuesta de transformación estructural y radical. Cuando el FMI consideraba al gasto social como variable de ajuste e imponía condiciones al gasto social, al tiempo que controlaba cada ítem de este gasto social, intervenía de manera directa sobre el conjunto de la sociedad</w:t>
      </w:r>
      <w:r w:rsidR="0096754B">
        <w:t xml:space="preserve"> y provocaba cambios profundos e irreversibles, no solo en el sentido de las políticas económicas, sino en el sentido de la construcción social e institucional de todo el país. Al hacer del gasto social en la variable de ajuste de su programa económico, el FMI estaba fracturando la relación que la sociedad tenía consigo mismo, y estaba convirtiendo al Estado en enemigo de su propia sociedad.</w:t>
      </w:r>
    </w:p>
    <w:p w:rsidR="0096754B" w:rsidRDefault="0096754B" w:rsidP="00134DEB">
      <w:pPr>
        <w:jc w:val="both"/>
      </w:pPr>
    </w:p>
    <w:p w:rsidR="00134DEB" w:rsidRPr="00134DEB" w:rsidRDefault="0096754B" w:rsidP="00134DEB">
      <w:pPr>
        <w:jc w:val="both"/>
      </w:pPr>
      <w:r>
        <w:t>Las políticas de ajuste del FMI, que se concentraron con énfasis especial en el gasto social, tuvieron los siguientes efectos:</w:t>
      </w:r>
    </w:p>
    <w:p w:rsidR="00134DEB" w:rsidRPr="00134DEB" w:rsidRDefault="00134DEB" w:rsidP="00134DEB">
      <w:pPr>
        <w:jc w:val="both"/>
      </w:pPr>
    </w:p>
    <w:p w:rsidR="00134DEB" w:rsidRPr="00134DEB" w:rsidRDefault="00134DEB" w:rsidP="00134DEB">
      <w:pPr>
        <w:numPr>
          <w:ilvl w:val="0"/>
          <w:numId w:val="11"/>
        </w:numPr>
        <w:jc w:val="both"/>
        <w:rPr>
          <w:szCs w:val="22"/>
        </w:rPr>
      </w:pPr>
      <w:r w:rsidRPr="00134DEB">
        <w:rPr>
          <w:szCs w:val="22"/>
        </w:rPr>
        <w:t xml:space="preserve">desmantelar la capacidad que tienen los Estados para construir un modelo de desarrollo desde sus propias posibilidades (o desarrollo endógeno), por la vía de las privatizaciones y las desregulaciones; </w:t>
      </w:r>
    </w:p>
    <w:p w:rsidR="00134DEB" w:rsidRPr="00134DEB" w:rsidRDefault="00134DEB" w:rsidP="00134DEB">
      <w:pPr>
        <w:numPr>
          <w:ilvl w:val="0"/>
          <w:numId w:val="11"/>
        </w:numPr>
        <w:jc w:val="both"/>
        <w:rPr>
          <w:szCs w:val="22"/>
        </w:rPr>
      </w:pPr>
      <w:r w:rsidRPr="00134DEB">
        <w:rPr>
          <w:szCs w:val="22"/>
        </w:rPr>
        <w:t>garantizar la transferencia de recursos a los euromercados de capital, ahora constituidos formalmente como finanza corporativa internacional, garantizando el pago puntual del servicio de la deuda externa, por la vía de las devaluaciones al tipo de cambio y el control al presupuesto gubernamental</w:t>
      </w:r>
      <w:r w:rsidRPr="00134DEB">
        <w:rPr>
          <w:rStyle w:val="Refdenotaalpie"/>
          <w:szCs w:val="22"/>
        </w:rPr>
        <w:footnoteReference w:id="1"/>
      </w:r>
      <w:r w:rsidRPr="00134DEB">
        <w:rPr>
          <w:szCs w:val="22"/>
        </w:rPr>
        <w:t>;</w:t>
      </w:r>
    </w:p>
    <w:p w:rsidR="00134DEB" w:rsidRPr="00134DEB" w:rsidRDefault="00134DEB" w:rsidP="00134DEB">
      <w:pPr>
        <w:numPr>
          <w:ilvl w:val="0"/>
          <w:numId w:val="11"/>
        </w:numPr>
        <w:jc w:val="both"/>
        <w:rPr>
          <w:szCs w:val="22"/>
        </w:rPr>
      </w:pPr>
      <w:r w:rsidRPr="00134DEB">
        <w:rPr>
          <w:szCs w:val="22"/>
        </w:rPr>
        <w:t xml:space="preserve">resolver los problemas de crisis del centro del sistema-mundo, absorbiendo la inflación provocada por el crecimiento expansivo de la oferta monetaria mundial generada, a su vez, por los euromercados de capitales, esta absorción de la inflación se dio por la vía de las devaluaciones y por la vía del incremento de la tasa de interés en los mercados domésticos; </w:t>
      </w:r>
    </w:p>
    <w:p w:rsidR="00134DEB" w:rsidRPr="00134DEB" w:rsidRDefault="00134DEB" w:rsidP="00134DEB">
      <w:pPr>
        <w:numPr>
          <w:ilvl w:val="0"/>
          <w:numId w:val="11"/>
        </w:numPr>
        <w:jc w:val="both"/>
        <w:rPr>
          <w:szCs w:val="22"/>
        </w:rPr>
      </w:pPr>
      <w:r w:rsidRPr="00134DEB">
        <w:rPr>
          <w:szCs w:val="22"/>
        </w:rPr>
        <w:t>Provocar cambios en los comportamientos económicos vía devaluaciones monetarias, de la siguiente manera: a) provocando una distorsión en los precios de las importaciones de insumos intermedios y de bienes de capital, que significa para los países de la periferia inflación y recesión (se conoce a este efecto como “devaluación contractiva”</w:t>
      </w:r>
      <w:r w:rsidRPr="00134DEB">
        <w:rPr>
          <w:rStyle w:val="Refdenotaalpie"/>
          <w:szCs w:val="22"/>
        </w:rPr>
        <w:footnoteReference w:id="2"/>
      </w:r>
      <w:r w:rsidRPr="00134DEB">
        <w:rPr>
          <w:szCs w:val="22"/>
        </w:rPr>
        <w:t>), y para los países del centro del sistema-mundo, significan atenuaciones en sus niveles de precios que se expresan por la disminución de la tasa inflacionaria; b) implican una cambio en la modalidad de exportaciones, en función del denominado “elasticidad-ingreso”, en virtud de la cual las exportaciones de bienes primarios se convierten en el sector de mayor dinamismo porque incorporan poco valor agregado, son intensivos en trabajo e incrementan las tasas de beneficio.</w:t>
      </w:r>
    </w:p>
    <w:p w:rsidR="00134DEB" w:rsidRPr="00134DEB" w:rsidRDefault="00134DEB" w:rsidP="00134DEB">
      <w:pPr>
        <w:numPr>
          <w:ilvl w:val="0"/>
          <w:numId w:val="11"/>
        </w:numPr>
        <w:jc w:val="both"/>
        <w:rPr>
          <w:szCs w:val="22"/>
        </w:rPr>
      </w:pPr>
      <w:r w:rsidRPr="00134DEB">
        <w:rPr>
          <w:szCs w:val="22"/>
        </w:rPr>
        <w:t xml:space="preserve">transformar los patrones de crecimiento sustentados en procesos productivos y de libre competencia bajo regulación estatal, por nuevas modalidades sostenidas en la concentración de la producción en monopolios y en el predominio del capital financiero, por la vía del incremento de las tasas de interés; </w:t>
      </w:r>
    </w:p>
    <w:p w:rsidR="00134DEB" w:rsidRPr="00134DEB" w:rsidRDefault="00134DEB" w:rsidP="00134DEB">
      <w:pPr>
        <w:numPr>
          <w:ilvl w:val="0"/>
          <w:numId w:val="11"/>
        </w:numPr>
        <w:jc w:val="both"/>
        <w:rPr>
          <w:szCs w:val="22"/>
        </w:rPr>
      </w:pPr>
      <w:r w:rsidRPr="00134DEB">
        <w:rPr>
          <w:szCs w:val="22"/>
        </w:rPr>
        <w:t>acentuar el deterioro de los términos de intercambio y provocar un masivo proceso de desindustrialización, por la vía de la devaluación del tipo de cambio, la reprimarización de la economía, y el aperturismo;</w:t>
      </w:r>
    </w:p>
    <w:p w:rsidR="00134DEB" w:rsidRPr="00134DEB" w:rsidRDefault="00134DEB" w:rsidP="00134DEB">
      <w:pPr>
        <w:numPr>
          <w:ilvl w:val="0"/>
          <w:numId w:val="11"/>
        </w:numPr>
        <w:jc w:val="both"/>
        <w:rPr>
          <w:szCs w:val="22"/>
        </w:rPr>
      </w:pPr>
      <w:r w:rsidRPr="00134DEB">
        <w:rPr>
          <w:szCs w:val="22"/>
        </w:rPr>
        <w:t xml:space="preserve">transferir los costos de la crisis del sistema-mundo hacia los trabajadores y los sectores más pobres por la vía de la flexibilización laboral, el incremento de los impuestos regresivos, el incremento de los precios de los bienes y servicios públicos, y la supresión de los subsidios sociales, vale decir, la reducción del salario real; </w:t>
      </w:r>
    </w:p>
    <w:p w:rsidR="00134DEB" w:rsidRPr="00134DEB" w:rsidRDefault="00134DEB" w:rsidP="00134DEB">
      <w:pPr>
        <w:numPr>
          <w:ilvl w:val="0"/>
          <w:numId w:val="11"/>
        </w:numPr>
        <w:jc w:val="both"/>
        <w:rPr>
          <w:szCs w:val="22"/>
        </w:rPr>
      </w:pPr>
      <w:r w:rsidRPr="00134DEB">
        <w:rPr>
          <w:szCs w:val="22"/>
        </w:rPr>
        <w:t xml:space="preserve">procurar la adhesión de las nuevas elites financieras a los mecanismos financieros-especulativos del sistema-mundo capitalista, por la vía de los subsidios al capital y a las grandes empresas, así como por el incremento de las tasas de interés; </w:t>
      </w:r>
    </w:p>
    <w:p w:rsidR="00134DEB" w:rsidRPr="00134DEB" w:rsidRDefault="00134DEB" w:rsidP="00134DEB">
      <w:pPr>
        <w:numPr>
          <w:ilvl w:val="0"/>
          <w:numId w:val="11"/>
        </w:numPr>
        <w:jc w:val="both"/>
        <w:rPr>
          <w:szCs w:val="22"/>
        </w:rPr>
      </w:pPr>
      <w:r w:rsidRPr="00134DEB">
        <w:rPr>
          <w:szCs w:val="22"/>
        </w:rPr>
        <w:t>desmontar todas las regulaciones y reglamentaciones creadas por el Estado para regular la economía y que estaban hechas en función de un modelo de desarrollo sustentado en la industrialización y el empleo, y transferir esas capacidades de regulación y reglamentación hacia las empresas privadas y a los mecanismos de mercado.</w:t>
      </w:r>
    </w:p>
    <w:p w:rsidR="0096754B" w:rsidRDefault="0096754B" w:rsidP="00134DEB">
      <w:pPr>
        <w:jc w:val="both"/>
      </w:pPr>
    </w:p>
    <w:p w:rsidR="0096754B" w:rsidRDefault="0096754B" w:rsidP="00134DEB">
      <w:pPr>
        <w:jc w:val="both"/>
      </w:pPr>
      <w:r>
        <w:t>Entonces, había mucho más en juego que la sola administración del gasto social. Cuando se generaron las leyes y los marcos institucionales para controlar la austeridad en el gasto social se estaba cambiando a toda la sociedad.</w:t>
      </w:r>
      <w:r w:rsidR="009A7B9B">
        <w:t xml:space="preserve"> En el siguiente cuadro puede verse la forma por la cual crece de manera importante el pago de la deuda pública y, al mismo tiempo, disminuye el gasto fiscal en el “sector social”.</w:t>
      </w:r>
    </w:p>
    <w:p w:rsidR="00A07BAB" w:rsidRDefault="00A07BAB" w:rsidP="00134DEB">
      <w:pPr>
        <w:jc w:val="both"/>
      </w:pPr>
    </w:p>
    <w:p w:rsidR="00A07BAB" w:rsidRDefault="00A07BAB" w:rsidP="00A07BAB">
      <w:pPr>
        <w:jc w:val="center"/>
      </w:pPr>
      <w:r>
        <w:t>Cuadro 1</w:t>
      </w:r>
    </w:p>
    <w:p w:rsidR="009A7B9B" w:rsidRDefault="00A07BAB" w:rsidP="00A07BAB">
      <w:pPr>
        <w:jc w:val="center"/>
      </w:pPr>
      <w:r>
        <w:t>Relación del gasto fiscal con respecto a la deuda pública y al gasto social/PIB</w:t>
      </w:r>
      <w:r w:rsidR="009A7B9B">
        <w:t xml:space="preserve">, </w:t>
      </w:r>
    </w:p>
    <w:p w:rsidR="00A07BAB" w:rsidRDefault="009A7B9B" w:rsidP="00A07BAB">
      <w:pPr>
        <w:jc w:val="center"/>
      </w:pPr>
      <w:r>
        <w:t>Años 1980-1989</w:t>
      </w:r>
    </w:p>
    <w:p w:rsidR="0096754B" w:rsidRDefault="00A07BAB" w:rsidP="00A07BAB">
      <w:pPr>
        <w:jc w:val="center"/>
      </w:pPr>
      <w:r>
        <w:t>En porcentajes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812"/>
        <w:gridCol w:w="529"/>
        <w:gridCol w:w="530"/>
        <w:gridCol w:w="530"/>
        <w:gridCol w:w="530"/>
        <w:gridCol w:w="530"/>
        <w:gridCol w:w="530"/>
        <w:gridCol w:w="530"/>
        <w:gridCol w:w="530"/>
        <w:gridCol w:w="530"/>
        <w:gridCol w:w="530"/>
      </w:tblGrid>
      <w:tr w:rsidR="00A07BAB" w:rsidRPr="00A07BAB">
        <w:trPr>
          <w:trHeight w:val="200"/>
          <w:jc w:val="center"/>
        </w:trPr>
        <w:tc>
          <w:tcPr>
            <w:tcW w:w="0" w:type="auto"/>
            <w:shd w:val="clear" w:color="auto" w:fill="auto"/>
            <w:noWrap/>
            <w:vAlign w:val="bottom"/>
          </w:tcPr>
          <w:p w:rsidR="00A07BAB" w:rsidRPr="009A7B9B" w:rsidRDefault="00A07BAB" w:rsidP="00A07BAB">
            <w:pPr>
              <w:rPr>
                <w:sz w:val="18"/>
                <w:szCs w:val="12"/>
                <w:lang w:val="es-ES_tradnl" w:eastAsia="es-ES_tradnl"/>
              </w:rPr>
            </w:pPr>
            <w:r w:rsidRPr="009A7B9B">
              <w:rPr>
                <w:sz w:val="18"/>
                <w:szCs w:val="12"/>
                <w:lang w:val="es-ES_tradnl" w:eastAsia="es-ES_tradnl"/>
              </w:rPr>
              <w:t>Relación del gasto fiscal con la deuda y el gasto social/PIB</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1980</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1981</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1982</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1983</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1984</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1985</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1986</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1987</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1988</w:t>
            </w:r>
          </w:p>
        </w:tc>
        <w:tc>
          <w:tcPr>
            <w:tcW w:w="0" w:type="auto"/>
            <w:shd w:val="clear" w:color="auto" w:fill="auto"/>
            <w:noWrap/>
            <w:vAlign w:val="bottom"/>
          </w:tcPr>
          <w:p w:rsidR="00A07BAB" w:rsidRPr="00A07BAB" w:rsidRDefault="00A07BAB" w:rsidP="00A07BAB">
            <w:pPr>
              <w:jc w:val="right"/>
              <w:rPr>
                <w:rFonts w:ascii="Arial" w:hAnsi="Arial"/>
                <w:b/>
                <w:bCs/>
                <w:sz w:val="18"/>
                <w:szCs w:val="12"/>
                <w:lang w:val="es-ES_tradnl" w:eastAsia="es-ES_tradnl"/>
              </w:rPr>
            </w:pPr>
            <w:r w:rsidRPr="00A07BAB">
              <w:rPr>
                <w:rFonts w:ascii="Arial" w:hAnsi="Arial"/>
                <w:b/>
                <w:bCs/>
                <w:sz w:val="18"/>
                <w:szCs w:val="12"/>
                <w:lang w:val="es-ES_tradnl" w:eastAsia="es-ES_tradnl"/>
              </w:rPr>
              <w:t>1989</w:t>
            </w:r>
          </w:p>
        </w:tc>
      </w:tr>
      <w:tr w:rsidR="00A07BAB" w:rsidRPr="00A07BAB">
        <w:trPr>
          <w:trHeight w:val="180"/>
          <w:jc w:val="center"/>
        </w:trPr>
        <w:tc>
          <w:tcPr>
            <w:tcW w:w="0" w:type="auto"/>
            <w:shd w:val="clear" w:color="auto" w:fill="auto"/>
            <w:noWrap/>
            <w:vAlign w:val="bottom"/>
          </w:tcPr>
          <w:p w:rsidR="00A07BAB" w:rsidRPr="009A7B9B" w:rsidRDefault="00A07BAB" w:rsidP="00A07BAB">
            <w:pPr>
              <w:rPr>
                <w:sz w:val="18"/>
                <w:szCs w:val="12"/>
                <w:lang w:val="es-ES_tradnl" w:eastAsia="es-ES_tradnl"/>
              </w:rPr>
            </w:pPr>
            <w:r w:rsidRPr="009A7B9B">
              <w:rPr>
                <w:sz w:val="18"/>
                <w:szCs w:val="12"/>
                <w:lang w:val="es-ES_tradnl" w:eastAsia="es-ES_tradnl"/>
              </w:rPr>
              <w:t>SERVICIO DEUDA PUBLICA/ PIB</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6,23</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7,58</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9,64</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15,73</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13,16</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18,44</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28,06</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16,90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25,48</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18,65</w:t>
            </w:r>
          </w:p>
        </w:tc>
      </w:tr>
      <w:tr w:rsidR="00A07BAB" w:rsidRPr="00A07BAB">
        <w:trPr>
          <w:trHeight w:val="180"/>
          <w:jc w:val="center"/>
        </w:trPr>
        <w:tc>
          <w:tcPr>
            <w:tcW w:w="0" w:type="auto"/>
            <w:shd w:val="clear" w:color="auto" w:fill="auto"/>
            <w:noWrap/>
            <w:vAlign w:val="bottom"/>
          </w:tcPr>
          <w:p w:rsidR="00A07BAB" w:rsidRPr="009A7B9B" w:rsidRDefault="00A07BAB" w:rsidP="00A07BAB">
            <w:pPr>
              <w:rPr>
                <w:sz w:val="18"/>
                <w:szCs w:val="12"/>
                <w:lang w:val="es-ES_tradnl" w:eastAsia="es-ES_tradnl"/>
              </w:rPr>
            </w:pPr>
            <w:r w:rsidRPr="009A7B9B">
              <w:rPr>
                <w:sz w:val="18"/>
                <w:szCs w:val="12"/>
                <w:lang w:val="es-ES_tradnl" w:eastAsia="es-ES_tradnl"/>
              </w:rPr>
              <w:t>GASTO SOCIAL / PIB</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11,20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12,70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11,50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9,80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10,30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9,80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9,80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9,10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9,80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9,00</w:t>
            </w:r>
          </w:p>
        </w:tc>
      </w:tr>
      <w:tr w:rsidR="00A07BAB" w:rsidRPr="00A07BAB">
        <w:trPr>
          <w:trHeight w:val="180"/>
          <w:jc w:val="center"/>
        </w:trPr>
        <w:tc>
          <w:tcPr>
            <w:tcW w:w="0" w:type="auto"/>
            <w:shd w:val="clear" w:color="auto" w:fill="auto"/>
            <w:noWrap/>
            <w:vAlign w:val="bottom"/>
          </w:tcPr>
          <w:p w:rsidR="00A07BAB" w:rsidRPr="009A7B9B" w:rsidRDefault="00A07BAB" w:rsidP="00A07BAB">
            <w:pPr>
              <w:rPr>
                <w:sz w:val="18"/>
                <w:szCs w:val="12"/>
                <w:lang w:val="es-ES_tradnl" w:eastAsia="es-ES_tradnl"/>
              </w:rPr>
            </w:pPr>
            <w:r w:rsidRPr="009A7B9B">
              <w:rPr>
                <w:sz w:val="18"/>
                <w:szCs w:val="12"/>
                <w:lang w:val="es-ES_tradnl" w:eastAsia="es-ES_tradnl"/>
              </w:rPr>
              <w:t>GASTO SALUD / PIB</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1,40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1,30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1,20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1,00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1,00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1,10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1,20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1,40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1,30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1,20</w:t>
            </w:r>
          </w:p>
        </w:tc>
      </w:tr>
      <w:tr w:rsidR="00A07BAB" w:rsidRPr="00A07BAB">
        <w:trPr>
          <w:trHeight w:val="200"/>
          <w:jc w:val="center"/>
        </w:trPr>
        <w:tc>
          <w:tcPr>
            <w:tcW w:w="0" w:type="auto"/>
            <w:shd w:val="clear" w:color="auto" w:fill="auto"/>
            <w:noWrap/>
            <w:vAlign w:val="bottom"/>
          </w:tcPr>
          <w:p w:rsidR="00A07BAB" w:rsidRPr="009A7B9B" w:rsidRDefault="00A07BAB" w:rsidP="00A07BAB">
            <w:pPr>
              <w:rPr>
                <w:sz w:val="18"/>
                <w:szCs w:val="12"/>
                <w:lang w:val="es-ES_tradnl" w:eastAsia="es-ES_tradnl"/>
              </w:rPr>
            </w:pPr>
            <w:r w:rsidRPr="009A7B9B">
              <w:rPr>
                <w:sz w:val="18"/>
                <w:szCs w:val="12"/>
                <w:lang w:val="es-ES_tradnl" w:eastAsia="es-ES_tradnl"/>
              </w:rPr>
              <w:t>GASTO EDUCACION / PIB</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4,60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4,50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4,10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3,40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3,40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3,70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4,00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3,90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3,30</w:t>
            </w:r>
          </w:p>
        </w:tc>
        <w:tc>
          <w:tcPr>
            <w:tcW w:w="0" w:type="auto"/>
            <w:shd w:val="clear" w:color="auto" w:fill="auto"/>
            <w:noWrap/>
            <w:vAlign w:val="bottom"/>
          </w:tcPr>
          <w:p w:rsidR="00A07BAB" w:rsidRPr="00A07BAB" w:rsidRDefault="00A07BAB" w:rsidP="00A07BAB">
            <w:pPr>
              <w:jc w:val="right"/>
              <w:rPr>
                <w:rFonts w:ascii="Arial" w:hAnsi="Arial"/>
                <w:sz w:val="18"/>
                <w:szCs w:val="12"/>
                <w:lang w:val="es-ES_tradnl" w:eastAsia="es-ES_tradnl"/>
              </w:rPr>
            </w:pPr>
            <w:r w:rsidRPr="00A07BAB">
              <w:rPr>
                <w:rFonts w:ascii="Arial" w:hAnsi="Arial"/>
                <w:sz w:val="18"/>
                <w:szCs w:val="12"/>
                <w:lang w:val="es-ES_tradnl" w:eastAsia="es-ES_tradnl"/>
              </w:rPr>
              <w:t>3,00</w:t>
            </w:r>
          </w:p>
        </w:tc>
      </w:tr>
    </w:tbl>
    <w:p w:rsidR="00A07BAB" w:rsidRDefault="00A07BAB" w:rsidP="00134DEB">
      <w:pPr>
        <w:jc w:val="both"/>
      </w:pPr>
      <w:r>
        <w:t>Fuente: Banco Central</w:t>
      </w:r>
    </w:p>
    <w:p w:rsidR="00254E7E" w:rsidRPr="00134DEB" w:rsidRDefault="00A07BAB" w:rsidP="00134DEB">
      <w:pPr>
        <w:jc w:val="both"/>
      </w:pPr>
      <w:r>
        <w:t>Elaboración: Autor</w:t>
      </w:r>
    </w:p>
    <w:p w:rsidR="009A7B9B" w:rsidRDefault="009A7B9B" w:rsidP="00134DEB">
      <w:pPr>
        <w:jc w:val="both"/>
      </w:pPr>
    </w:p>
    <w:p w:rsidR="009A7B9B" w:rsidRDefault="009A7B9B" w:rsidP="00134DEB">
      <w:pPr>
        <w:jc w:val="both"/>
      </w:pPr>
      <w:r>
        <w:t>Este proceso que empezó en la década de los ochenta continuará y se radicalizará en la década de los noventa. El siguiente cuadro muestra el comportamiento de estas variables durante esta década:</w:t>
      </w:r>
    </w:p>
    <w:p w:rsidR="009A7B9B" w:rsidRDefault="009A7B9B" w:rsidP="00134DEB">
      <w:pPr>
        <w:jc w:val="both"/>
      </w:pPr>
    </w:p>
    <w:p w:rsidR="009A7B9B" w:rsidRDefault="009A7B9B" w:rsidP="009A7B9B">
      <w:pPr>
        <w:jc w:val="center"/>
      </w:pPr>
      <w:r>
        <w:t>Cuadro 2</w:t>
      </w:r>
    </w:p>
    <w:p w:rsidR="009A7B9B" w:rsidRDefault="009A7B9B" w:rsidP="009A7B9B">
      <w:pPr>
        <w:jc w:val="center"/>
      </w:pPr>
      <w:r>
        <w:t>Relación del gasto fiscal con respecto a la deuda pública y al gasto social/PIB</w:t>
      </w:r>
    </w:p>
    <w:p w:rsidR="009A7B9B" w:rsidRDefault="009A7B9B" w:rsidP="009A7B9B">
      <w:pPr>
        <w:jc w:val="center"/>
      </w:pPr>
      <w:r>
        <w:t>Años 1990-2003</w:t>
      </w:r>
    </w:p>
    <w:p w:rsidR="009A7B9B" w:rsidRDefault="009A7B9B" w:rsidP="009A7B9B">
      <w:pPr>
        <w:jc w:val="center"/>
      </w:pPr>
      <w:r>
        <w:t>En porcentajes</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386"/>
        <w:gridCol w:w="389"/>
        <w:gridCol w:w="389"/>
        <w:gridCol w:w="389"/>
        <w:gridCol w:w="362"/>
        <w:gridCol w:w="362"/>
        <w:gridCol w:w="362"/>
        <w:gridCol w:w="362"/>
        <w:gridCol w:w="390"/>
        <w:gridCol w:w="362"/>
        <w:gridCol w:w="390"/>
        <w:gridCol w:w="390"/>
        <w:gridCol w:w="526"/>
        <w:gridCol w:w="526"/>
        <w:gridCol w:w="526"/>
      </w:tblGrid>
      <w:tr w:rsidR="009A7B9B" w:rsidRPr="009A7B9B">
        <w:trPr>
          <w:trHeight w:val="200"/>
        </w:trPr>
        <w:tc>
          <w:tcPr>
            <w:tcW w:w="0" w:type="auto"/>
            <w:shd w:val="clear" w:color="auto" w:fill="auto"/>
            <w:noWrap/>
            <w:vAlign w:val="bottom"/>
          </w:tcPr>
          <w:p w:rsidR="009A7B9B" w:rsidRPr="009A7B9B" w:rsidRDefault="009A7B9B" w:rsidP="009A7B9B">
            <w:pPr>
              <w:rPr>
                <w:sz w:val="16"/>
                <w:szCs w:val="12"/>
                <w:lang w:val="es-ES_tradnl" w:eastAsia="es-ES_tradnl"/>
              </w:rPr>
            </w:pPr>
            <w:r w:rsidRPr="009A7B9B">
              <w:rPr>
                <w:sz w:val="16"/>
                <w:szCs w:val="12"/>
                <w:lang w:val="es-ES_tradnl" w:eastAsia="es-ES_tradnl"/>
              </w:rPr>
              <w:t>Relación entre el gasto fiscal para servicio de la deuda y gasto social/PIB</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1990</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1991</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1992</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1993</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1994</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1995</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1996</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1997</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1998</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1999</w:t>
            </w:r>
          </w:p>
        </w:tc>
        <w:tc>
          <w:tcPr>
            <w:tcW w:w="0" w:type="auto"/>
            <w:shd w:val="clear" w:color="auto" w:fill="auto"/>
            <w:noWrap/>
            <w:vAlign w:val="bottom"/>
          </w:tcPr>
          <w:p w:rsidR="009A7B9B" w:rsidRPr="009A7B9B" w:rsidRDefault="009A7B9B" w:rsidP="009A7B9B">
            <w:pPr>
              <w:jc w:val="right"/>
              <w:rPr>
                <w:b/>
                <w:bCs/>
                <w:sz w:val="16"/>
                <w:szCs w:val="12"/>
                <w:lang w:val="es-ES_tradnl" w:eastAsia="es-ES_tradnl"/>
              </w:rPr>
            </w:pPr>
            <w:r w:rsidRPr="009A7B9B">
              <w:rPr>
                <w:b/>
                <w:bCs/>
                <w:sz w:val="16"/>
                <w:szCs w:val="12"/>
                <w:lang w:val="es-ES_tradnl" w:eastAsia="es-ES_tradnl"/>
              </w:rPr>
              <w:t>2000</w:t>
            </w:r>
          </w:p>
        </w:tc>
        <w:tc>
          <w:tcPr>
            <w:tcW w:w="0" w:type="auto"/>
            <w:shd w:val="clear" w:color="auto" w:fill="auto"/>
            <w:noWrap/>
            <w:vAlign w:val="bottom"/>
          </w:tcPr>
          <w:p w:rsidR="009A7B9B" w:rsidRPr="009A7B9B" w:rsidRDefault="009A7B9B" w:rsidP="009A7B9B">
            <w:pPr>
              <w:rPr>
                <w:b/>
                <w:bCs/>
                <w:sz w:val="16"/>
                <w:szCs w:val="12"/>
                <w:lang w:val="es-ES_tradnl" w:eastAsia="es-ES_tradnl"/>
              </w:rPr>
            </w:pPr>
            <w:r w:rsidRPr="009A7B9B">
              <w:rPr>
                <w:b/>
                <w:bCs/>
                <w:sz w:val="16"/>
                <w:szCs w:val="12"/>
                <w:lang w:val="es-ES_tradnl" w:eastAsia="es-ES_tradnl"/>
              </w:rPr>
              <w:t>2001 (p)</w:t>
            </w:r>
          </w:p>
        </w:tc>
        <w:tc>
          <w:tcPr>
            <w:tcW w:w="0" w:type="auto"/>
            <w:shd w:val="clear" w:color="auto" w:fill="auto"/>
            <w:noWrap/>
            <w:vAlign w:val="bottom"/>
          </w:tcPr>
          <w:p w:rsidR="009A7B9B" w:rsidRPr="009A7B9B" w:rsidRDefault="009A7B9B" w:rsidP="009A7B9B">
            <w:pPr>
              <w:rPr>
                <w:b/>
                <w:bCs/>
                <w:sz w:val="16"/>
                <w:szCs w:val="12"/>
                <w:lang w:val="es-ES_tradnl" w:eastAsia="es-ES_tradnl"/>
              </w:rPr>
            </w:pPr>
            <w:r w:rsidRPr="009A7B9B">
              <w:rPr>
                <w:b/>
                <w:bCs/>
                <w:sz w:val="16"/>
                <w:szCs w:val="12"/>
                <w:lang w:val="es-ES_tradnl" w:eastAsia="es-ES_tradnl"/>
              </w:rPr>
              <w:t>2002 (p)</w:t>
            </w:r>
          </w:p>
        </w:tc>
        <w:tc>
          <w:tcPr>
            <w:tcW w:w="0" w:type="auto"/>
            <w:shd w:val="clear" w:color="auto" w:fill="auto"/>
            <w:noWrap/>
            <w:vAlign w:val="bottom"/>
          </w:tcPr>
          <w:p w:rsidR="009A7B9B" w:rsidRPr="009A7B9B" w:rsidRDefault="009A7B9B" w:rsidP="009A7B9B">
            <w:pPr>
              <w:rPr>
                <w:b/>
                <w:bCs/>
                <w:sz w:val="16"/>
                <w:szCs w:val="12"/>
                <w:lang w:val="es-ES_tradnl" w:eastAsia="es-ES_tradnl"/>
              </w:rPr>
            </w:pPr>
            <w:r w:rsidRPr="009A7B9B">
              <w:rPr>
                <w:b/>
                <w:bCs/>
                <w:sz w:val="16"/>
                <w:szCs w:val="12"/>
                <w:lang w:val="es-ES_tradnl" w:eastAsia="es-ES_tradnl"/>
              </w:rPr>
              <w:t>2003 (p)</w:t>
            </w:r>
          </w:p>
        </w:tc>
      </w:tr>
      <w:tr w:rsidR="009A7B9B" w:rsidRPr="009A7B9B">
        <w:trPr>
          <w:trHeight w:val="180"/>
        </w:trPr>
        <w:tc>
          <w:tcPr>
            <w:tcW w:w="0" w:type="auto"/>
            <w:shd w:val="clear" w:color="auto" w:fill="auto"/>
            <w:noWrap/>
            <w:vAlign w:val="bottom"/>
          </w:tcPr>
          <w:p w:rsidR="009A7B9B" w:rsidRPr="009A7B9B" w:rsidRDefault="009A7B9B" w:rsidP="009A7B9B">
            <w:pPr>
              <w:rPr>
                <w:sz w:val="16"/>
                <w:szCs w:val="12"/>
                <w:lang w:val="es-ES_tradnl" w:eastAsia="es-ES_tradnl"/>
              </w:rPr>
            </w:pPr>
            <w:r w:rsidRPr="009A7B9B">
              <w:rPr>
                <w:sz w:val="16"/>
                <w:szCs w:val="12"/>
                <w:lang w:val="es-ES_tradnl" w:eastAsia="es-ES_tradnl"/>
              </w:rPr>
              <w:t>SERVICIO DEUDA PUBLICA/ PIB</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14,04</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10,93</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12,89</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6,20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4,14</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8,94</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7,66</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10,12</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7,46</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10,80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10,55</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8,69</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8,11</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6,81</w:t>
            </w:r>
          </w:p>
        </w:tc>
      </w:tr>
      <w:tr w:rsidR="009A7B9B" w:rsidRPr="009A7B9B">
        <w:trPr>
          <w:trHeight w:val="180"/>
        </w:trPr>
        <w:tc>
          <w:tcPr>
            <w:tcW w:w="0" w:type="auto"/>
            <w:shd w:val="clear" w:color="auto" w:fill="auto"/>
            <w:noWrap/>
            <w:vAlign w:val="bottom"/>
          </w:tcPr>
          <w:p w:rsidR="009A7B9B" w:rsidRPr="009A7B9B" w:rsidRDefault="009A7B9B" w:rsidP="009A7B9B">
            <w:pPr>
              <w:rPr>
                <w:sz w:val="16"/>
                <w:szCs w:val="12"/>
                <w:lang w:val="es-ES_tradnl" w:eastAsia="es-ES_tradnl"/>
              </w:rPr>
            </w:pPr>
            <w:r w:rsidRPr="009A7B9B">
              <w:rPr>
                <w:sz w:val="16"/>
                <w:szCs w:val="12"/>
                <w:lang w:val="es-ES_tradnl" w:eastAsia="es-ES_tradnl"/>
              </w:rPr>
              <w:t>GASTO SOCIAL / PIB</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8,00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7,00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7,40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8,90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5,90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6,20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6,20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4,90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5,30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4,40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4</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5,9</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5,6</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5,9</w:t>
            </w:r>
          </w:p>
        </w:tc>
      </w:tr>
      <w:tr w:rsidR="009A7B9B" w:rsidRPr="009A7B9B">
        <w:trPr>
          <w:trHeight w:val="180"/>
        </w:trPr>
        <w:tc>
          <w:tcPr>
            <w:tcW w:w="0" w:type="auto"/>
            <w:shd w:val="clear" w:color="auto" w:fill="auto"/>
            <w:noWrap/>
            <w:vAlign w:val="bottom"/>
          </w:tcPr>
          <w:p w:rsidR="009A7B9B" w:rsidRPr="009A7B9B" w:rsidRDefault="009A7B9B" w:rsidP="009A7B9B">
            <w:pPr>
              <w:rPr>
                <w:sz w:val="16"/>
                <w:szCs w:val="12"/>
                <w:lang w:val="es-ES_tradnl" w:eastAsia="es-ES_tradnl"/>
              </w:rPr>
            </w:pPr>
            <w:r w:rsidRPr="009A7B9B">
              <w:rPr>
                <w:sz w:val="16"/>
                <w:szCs w:val="12"/>
                <w:lang w:val="es-ES_tradnl" w:eastAsia="es-ES_tradnl"/>
              </w:rPr>
              <w:t>GASTO SALUD / PIB</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1,20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0,70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1,10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1,20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0,81</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0,89</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1,02</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0,92</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0,89</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1,04</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1,08</w:t>
            </w:r>
          </w:p>
        </w:tc>
      </w:tr>
      <w:tr w:rsidR="009A7B9B" w:rsidRPr="009A7B9B">
        <w:trPr>
          <w:trHeight w:val="200"/>
        </w:trPr>
        <w:tc>
          <w:tcPr>
            <w:tcW w:w="0" w:type="auto"/>
            <w:shd w:val="clear" w:color="auto" w:fill="auto"/>
            <w:noWrap/>
            <w:vAlign w:val="bottom"/>
          </w:tcPr>
          <w:p w:rsidR="009A7B9B" w:rsidRPr="009A7B9B" w:rsidRDefault="009A7B9B" w:rsidP="009A7B9B">
            <w:pPr>
              <w:rPr>
                <w:sz w:val="16"/>
                <w:szCs w:val="12"/>
                <w:lang w:val="es-ES_tradnl" w:eastAsia="es-ES_tradnl"/>
              </w:rPr>
            </w:pPr>
            <w:r w:rsidRPr="009A7B9B">
              <w:rPr>
                <w:sz w:val="16"/>
                <w:szCs w:val="12"/>
                <w:lang w:val="es-ES_tradnl" w:eastAsia="es-ES_tradnl"/>
              </w:rPr>
              <w:t>GASTO EDUCACION / PIB</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2,70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3,10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2,60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2,90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3,30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3,20</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2,92</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2,73</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3,15</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2,61</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2,32</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2,79</w:t>
            </w:r>
          </w:p>
        </w:tc>
        <w:tc>
          <w:tcPr>
            <w:tcW w:w="0" w:type="auto"/>
            <w:shd w:val="clear" w:color="auto" w:fill="auto"/>
            <w:noWrap/>
            <w:vAlign w:val="bottom"/>
          </w:tcPr>
          <w:p w:rsidR="009A7B9B" w:rsidRPr="009A7B9B" w:rsidRDefault="009A7B9B" w:rsidP="009A7B9B">
            <w:pPr>
              <w:jc w:val="right"/>
              <w:rPr>
                <w:sz w:val="16"/>
                <w:szCs w:val="12"/>
                <w:lang w:val="es-ES_tradnl" w:eastAsia="es-ES_tradnl"/>
              </w:rPr>
            </w:pPr>
            <w:r w:rsidRPr="009A7B9B">
              <w:rPr>
                <w:sz w:val="16"/>
                <w:szCs w:val="12"/>
                <w:lang w:val="es-ES_tradnl" w:eastAsia="es-ES_tradnl"/>
              </w:rPr>
              <w:t>2,36</w:t>
            </w:r>
          </w:p>
        </w:tc>
      </w:tr>
    </w:tbl>
    <w:p w:rsidR="009A7B9B" w:rsidRDefault="009A7B9B" w:rsidP="009A7B9B">
      <w:pPr>
        <w:jc w:val="both"/>
      </w:pPr>
      <w:r>
        <w:t>Fuente: Banco Central</w:t>
      </w:r>
    </w:p>
    <w:p w:rsidR="009A7B9B" w:rsidRPr="00134DEB" w:rsidRDefault="009A7B9B" w:rsidP="009A7B9B">
      <w:pPr>
        <w:jc w:val="both"/>
      </w:pPr>
      <w:r>
        <w:t>Elaboración: Autor</w:t>
      </w:r>
    </w:p>
    <w:p w:rsidR="00B11FF3" w:rsidRDefault="00B11FF3" w:rsidP="00134DEB">
      <w:pPr>
        <w:jc w:val="both"/>
      </w:pPr>
    </w:p>
    <w:p w:rsidR="00B11FF3" w:rsidRDefault="00B11FF3" w:rsidP="00134DEB">
      <w:pPr>
        <w:jc w:val="both"/>
      </w:pPr>
      <w:r>
        <w:t>Como puede apreciarse la construcción estratégica del gasto social como variable de ajuste, permitió una enorme transferencia de recursos por la vía del pago de la deuda externa. Esta construcción estratégica fue avalada por un marco jurídico e institucional. En efecto, en la primera Carta de Intención suscrita con el FMI, en marzo de 1983, como uno de los compromisos asumidos por el Ecuador, consta la aprobación de la Ley de Presupuestos. Esta Ley cambiará la forma de comprender, asignar y registrar el presupuesto público, de tal manera que se haga explícito el gasto por sectores. Es esta Ley de 1983 la que establece la distinción entre el gasto corriente, el gasto de inversión y el gasto de capital.</w:t>
      </w:r>
    </w:p>
    <w:p w:rsidR="00B11FF3" w:rsidRDefault="00B11FF3" w:rsidP="00134DEB">
      <w:pPr>
        <w:jc w:val="both"/>
      </w:pPr>
    </w:p>
    <w:p w:rsidR="00B11FF3" w:rsidRDefault="00B11FF3" w:rsidP="00134DEB">
      <w:pPr>
        <w:jc w:val="both"/>
      </w:pPr>
      <w:r>
        <w:t>Esta acotación es importante porque al interior del gasto social, en especial el gasto en salud, también va a operar esa nueva clasificación entre gasto corriente, es decir el gasto en personal y administración, el gasto de inversión y el gasto de capital. De esta manera, el gasto en personal de salud se asumió como gasto corriente. Pero el FMI hizo algo más que un simple ejercicio de contabilidad fiscal. El FMI acusó al gasto corriente, es decir, al gasto en personal y administración, en ser el causante directo de la inflación de la economía.</w:t>
      </w:r>
      <w:r w:rsidR="00BC06E2">
        <w:t xml:space="preserve"> Por ello, si un país quería controlar la inflación tenía que, de entrada, controlar su gasto corriente. Esta ideología de que el gasto corriente genera inflación será uno de los núcleos duros del neoliberalismo y se extenderá hasta la Constitución de 2008. </w:t>
      </w:r>
    </w:p>
    <w:p w:rsidR="00B11FF3" w:rsidRDefault="00B11FF3" w:rsidP="00134DEB">
      <w:pPr>
        <w:jc w:val="both"/>
      </w:pPr>
    </w:p>
    <w:p w:rsidR="00B11FF3" w:rsidRPr="00B11FF3" w:rsidRDefault="00B11FF3" w:rsidP="00B11FF3">
      <w:pPr>
        <w:jc w:val="both"/>
        <w:rPr>
          <w:szCs w:val="22"/>
        </w:rPr>
      </w:pPr>
      <w:r w:rsidRPr="00B11FF3">
        <w:rPr>
          <w:szCs w:val="22"/>
        </w:rPr>
        <w:t xml:space="preserve">El FMI </w:t>
      </w:r>
      <w:r>
        <w:rPr>
          <w:szCs w:val="22"/>
        </w:rPr>
        <w:t xml:space="preserve">también </w:t>
      </w:r>
      <w:r w:rsidRPr="00B11FF3">
        <w:rPr>
          <w:szCs w:val="22"/>
        </w:rPr>
        <w:t>impuso metas estrictas y draconianas al crecimiento del gasto corriente. El FMI presionó a los Estados a que utilicen el presupuesto público como la principal herramienta para conseguir recursos en el corto plazo, y con ellos cumplir el servicio de la deuda. Se incrementaron los impuestos regresivos (esto es los impuestos en los cuales la carga impositiva se hace más pesada mientras más pobre es una familia, el Impuesto al Valor Agregado es un ejemplo típico de impuesto regresivo); se incrementaron los precios de los servicios públicos y de los combustibles, se redujeron los salarios del sector público, se despidieron ingentes cantidades de trabajadores del sector público, se eliminaron los subsidios a los sectores más vulnerables de la sociedad, se desmanteló toda la infraestructura de protección y seguridad social.</w:t>
      </w:r>
    </w:p>
    <w:p w:rsidR="00B11FF3" w:rsidRPr="00B11FF3" w:rsidRDefault="00B11FF3" w:rsidP="00B11FF3">
      <w:pPr>
        <w:jc w:val="both"/>
        <w:rPr>
          <w:szCs w:val="22"/>
        </w:rPr>
      </w:pPr>
    </w:p>
    <w:p w:rsidR="00BC06E2" w:rsidRDefault="00B11FF3" w:rsidP="00B11FF3">
      <w:pPr>
        <w:jc w:val="both"/>
        <w:rPr>
          <w:szCs w:val="22"/>
        </w:rPr>
      </w:pPr>
      <w:r w:rsidRPr="00B11FF3">
        <w:rPr>
          <w:szCs w:val="22"/>
        </w:rPr>
        <w:t xml:space="preserve">Es en virtud de esta ortodoxia fiscal que se demolió el andamiaje institucional del sector público, se generó </w:t>
      </w:r>
      <w:r w:rsidRPr="00B11FF3">
        <w:rPr>
          <w:i/>
          <w:szCs w:val="22"/>
        </w:rPr>
        <w:t>ex profeso</w:t>
      </w:r>
      <w:r w:rsidRPr="00B11FF3">
        <w:rPr>
          <w:szCs w:val="22"/>
        </w:rPr>
        <w:t xml:space="preserve"> ineficiencias en los servicios públicos y, con el pretexto de estas ineficiencias, se creó de forma artificial la necesidad social de su privatización. De todos los sectores que sufrieron más los embates del FMI constan el sector de educación, de salud y de inversión social</w:t>
      </w:r>
      <w:r w:rsidR="00BC06E2">
        <w:rPr>
          <w:szCs w:val="22"/>
        </w:rPr>
        <w:t>, vale decir, el sector social</w:t>
      </w:r>
      <w:r w:rsidRPr="00B11FF3">
        <w:rPr>
          <w:szCs w:val="22"/>
        </w:rPr>
        <w:t xml:space="preserve">. </w:t>
      </w:r>
    </w:p>
    <w:p w:rsidR="00BC06E2" w:rsidRDefault="00BC06E2" w:rsidP="00B11FF3">
      <w:pPr>
        <w:jc w:val="both"/>
        <w:rPr>
          <w:szCs w:val="22"/>
        </w:rPr>
      </w:pPr>
    </w:p>
    <w:p w:rsidR="00BC06E2" w:rsidRDefault="00B11FF3" w:rsidP="00B11FF3">
      <w:pPr>
        <w:jc w:val="both"/>
        <w:rPr>
          <w:szCs w:val="22"/>
        </w:rPr>
      </w:pPr>
      <w:r w:rsidRPr="00B11FF3">
        <w:rPr>
          <w:szCs w:val="22"/>
        </w:rPr>
        <w:t>Los indicadores sociales dieron cuenta de los costos del ajuste expresando retrocesos dramáticos en las condiciones de vida para vastos sectores de la población. Fue tal el impacto de las políticas de ajuste del FMI, que al interior de éste y del Banco Mundial se llegó a sugerir la necesidad de un rostro social, por ello a mediados de los noventa se propuso la noción de “ajuste con rostro humano”</w:t>
      </w:r>
      <w:r w:rsidRPr="00B11FF3">
        <w:rPr>
          <w:rStyle w:val="Refdenotaalpie"/>
          <w:szCs w:val="22"/>
        </w:rPr>
        <w:footnoteReference w:id="3"/>
      </w:r>
      <w:r w:rsidRPr="00B11FF3">
        <w:rPr>
          <w:szCs w:val="22"/>
        </w:rPr>
        <w:t>. Demás está decir que se trató de un conjunto de buenas intenciones que no menguaron ni atenuaron la dureza del ajuste estructural.</w:t>
      </w:r>
    </w:p>
    <w:p w:rsidR="00BC06E2" w:rsidRDefault="00BC06E2" w:rsidP="00B11FF3">
      <w:pPr>
        <w:jc w:val="both"/>
        <w:rPr>
          <w:szCs w:val="22"/>
        </w:rPr>
      </w:pPr>
    </w:p>
    <w:p w:rsidR="00BC06E2" w:rsidRDefault="00BC06E2" w:rsidP="00B11FF3">
      <w:pPr>
        <w:jc w:val="both"/>
        <w:rPr>
          <w:szCs w:val="22"/>
        </w:rPr>
      </w:pPr>
      <w:r>
        <w:rPr>
          <w:szCs w:val="22"/>
        </w:rPr>
        <w:t>En virtud de que se fracturaban las solidaridades que el Estado podía tener con su sociedad, y que se acusaba al gasto en personal como causante directo de la inflación y, en consecuencia, como los culpables directos de la crisis, el FMI propuso la reducción del tamaño del Estado y su modernización, es decir, su privatización.</w:t>
      </w:r>
    </w:p>
    <w:p w:rsidR="00BC06E2" w:rsidRDefault="00BC06E2" w:rsidP="00B11FF3">
      <w:pPr>
        <w:jc w:val="both"/>
        <w:rPr>
          <w:szCs w:val="22"/>
        </w:rPr>
      </w:pPr>
    </w:p>
    <w:p w:rsidR="00BC06E2" w:rsidRDefault="00BC06E2" w:rsidP="00B11FF3">
      <w:pPr>
        <w:jc w:val="both"/>
        <w:rPr>
          <w:szCs w:val="22"/>
        </w:rPr>
      </w:pPr>
      <w:r>
        <w:rPr>
          <w:szCs w:val="22"/>
        </w:rPr>
        <w:t xml:space="preserve">Es desde esta dinámica que tiene que comprenderse la concentración de capital en el sector salud para el caso ecuatoriano. La concentración de capital hace referencia al proceso mediante el cual se incorporan a la lógica del mercado todas las actividades humanas y sociales. Cuando el FMI fractura la solidaridad del Estado con la sociedad y convierte a esa solidaridad en gasto social susceptible de ser controlado y fiscalizado, y cuando acusa al personal de estos sectores como responsables directos de la crisis, está generando las condiciones de posibilidad para que empiecen a actuar los mecanismos de mercado. </w:t>
      </w:r>
    </w:p>
    <w:p w:rsidR="00BC06E2" w:rsidRDefault="00BC06E2" w:rsidP="00B11FF3">
      <w:pPr>
        <w:jc w:val="both"/>
        <w:rPr>
          <w:szCs w:val="22"/>
        </w:rPr>
      </w:pPr>
    </w:p>
    <w:p w:rsidR="00BC06E2" w:rsidRDefault="00BC06E2" w:rsidP="00B11FF3">
      <w:pPr>
        <w:jc w:val="both"/>
        <w:rPr>
          <w:szCs w:val="22"/>
        </w:rPr>
      </w:pPr>
      <w:r>
        <w:rPr>
          <w:szCs w:val="22"/>
        </w:rPr>
        <w:t>Para que esos mecanismos de mercado funcionen es requisito previo romper con toda solidaridad social, porque la lógica del mercado, por definición, es una lógica individualista y egoísta. Por ello, es altamente funcional para la estrategia neoliberal, fracturar esa relación y presentarla de forma puramente estratégica. Es decir, el Estado tiene una cantidad de recursos que tiene que utilizarlos eficientemente y el gasto corriente impide esa utilización eficiente. Suprimir el gasto corriente, sobre todo en el sector social, para el FMI es un acto de disciplina fiscal que se asume como condición de posibilidad para el crecimiento económico.</w:t>
      </w:r>
    </w:p>
    <w:p w:rsidR="00BC06E2" w:rsidRDefault="00BC06E2" w:rsidP="00B11FF3">
      <w:pPr>
        <w:jc w:val="both"/>
        <w:rPr>
          <w:szCs w:val="22"/>
        </w:rPr>
      </w:pPr>
    </w:p>
    <w:p w:rsidR="00E43A75" w:rsidRDefault="00BC06E2" w:rsidP="00B11FF3">
      <w:pPr>
        <w:jc w:val="both"/>
        <w:rPr>
          <w:szCs w:val="22"/>
        </w:rPr>
      </w:pPr>
      <w:r>
        <w:rPr>
          <w:szCs w:val="22"/>
        </w:rPr>
        <w:t>Esta estrategia implicó la apertura de un espacio que fue rápidamente llenado con lógicas de mercado. El personal de salud, en especial los médicos y especialistas, comprendieron que su futuro no estaba en el Estado sino en el mercado y optaron por convertirse a la lógica empresarial. A medida que se reducía el gasto social, en general, y el gaso corriente, en especial en el sector salud, se iba ampliando la esfera mercantil. Las políticas del FMI, que serán conocidas como políticas de ajuste, o también como políticas de estabilización económica, fueron la condición de posibilidad para que se forme el mercado de la salud</w:t>
      </w:r>
      <w:r w:rsidR="00E43A75">
        <w:rPr>
          <w:szCs w:val="22"/>
        </w:rPr>
        <w:t>, así como el mercado de la educación.</w:t>
      </w:r>
    </w:p>
    <w:p w:rsidR="00E43A75" w:rsidRDefault="00E43A75" w:rsidP="00B11FF3">
      <w:pPr>
        <w:jc w:val="both"/>
        <w:rPr>
          <w:szCs w:val="22"/>
        </w:rPr>
      </w:pPr>
    </w:p>
    <w:p w:rsidR="00BC06E2" w:rsidRPr="00E43A75" w:rsidRDefault="00E43A75" w:rsidP="00B11FF3">
      <w:pPr>
        <w:jc w:val="both"/>
        <w:rPr>
          <w:b/>
          <w:szCs w:val="22"/>
        </w:rPr>
      </w:pPr>
      <w:r w:rsidRPr="00E43A75">
        <w:rPr>
          <w:b/>
          <w:szCs w:val="22"/>
        </w:rPr>
        <w:t>Neoliberalismo, políticas de ajuste y concentración de capital en el sector salud</w:t>
      </w:r>
    </w:p>
    <w:p w:rsidR="00BC06E2" w:rsidRDefault="00BC06E2" w:rsidP="00B11FF3">
      <w:pPr>
        <w:jc w:val="both"/>
        <w:rPr>
          <w:szCs w:val="22"/>
        </w:rPr>
      </w:pPr>
    </w:p>
    <w:p w:rsidR="00E43A75" w:rsidRDefault="00E43A75" w:rsidP="00E43A75">
      <w:pPr>
        <w:jc w:val="both"/>
        <w:rPr>
          <w:szCs w:val="22"/>
        </w:rPr>
      </w:pPr>
      <w:r w:rsidRPr="00E43A75">
        <w:rPr>
          <w:szCs w:val="22"/>
        </w:rPr>
        <w:t xml:space="preserve">La piedra angular de la estrategia del ajuste estructural del FMI estuvo en el control al Estado a partir de la política fiscal, porque a través del Estado se desarmó y neutralizó la capacidad de resistencia de las organizaciones sociales al ajuste estructural, al tiempo que se transfirió, utilizando la capacidad coercitiva del Estado, el costo real del ajuste </w:t>
      </w:r>
      <w:r>
        <w:rPr>
          <w:szCs w:val="22"/>
        </w:rPr>
        <w:t xml:space="preserve">económico </w:t>
      </w:r>
      <w:r w:rsidRPr="00E43A75">
        <w:rPr>
          <w:szCs w:val="22"/>
        </w:rPr>
        <w:t xml:space="preserve">hacia toda la sociedad. </w:t>
      </w:r>
    </w:p>
    <w:p w:rsidR="00E43A75" w:rsidRDefault="00E43A75" w:rsidP="00E43A75">
      <w:pPr>
        <w:jc w:val="both"/>
        <w:rPr>
          <w:szCs w:val="22"/>
        </w:rPr>
      </w:pPr>
    </w:p>
    <w:p w:rsidR="00E43A75" w:rsidRPr="00E43A75" w:rsidRDefault="00E43A75" w:rsidP="00E43A75">
      <w:pPr>
        <w:jc w:val="both"/>
        <w:rPr>
          <w:szCs w:val="22"/>
        </w:rPr>
      </w:pPr>
      <w:r w:rsidRPr="00E43A75">
        <w:rPr>
          <w:szCs w:val="22"/>
        </w:rPr>
        <w:t>El Estado se convirtió en el teatro de operaciones, en el sentido bélico del término, de la artillería del FMI y de sus aliados criollos</w:t>
      </w:r>
      <w:r w:rsidRPr="00E43A75">
        <w:rPr>
          <w:rStyle w:val="Refdenotaalpie"/>
          <w:szCs w:val="22"/>
        </w:rPr>
        <w:footnoteReference w:id="4"/>
      </w:r>
      <w:r w:rsidRPr="00E43A75">
        <w:rPr>
          <w:szCs w:val="22"/>
        </w:rPr>
        <w:t>. Si Michel Foucault tiene razón, y si la política en realidad es la continuación de la guerra por otros medios, entonces la metáfora tiene sentido: aquello que desplegó el FMI en torno al presupuesto del Estado fue parte de una estrategia bélica que asumió los contenidos de disputas tecno-políticas</w:t>
      </w:r>
      <w:r w:rsidRPr="00E43A75">
        <w:rPr>
          <w:rStyle w:val="Refdenotaalpie"/>
          <w:szCs w:val="22"/>
        </w:rPr>
        <w:footnoteReference w:id="5"/>
      </w:r>
      <w:r w:rsidRPr="00E43A75">
        <w:rPr>
          <w:szCs w:val="22"/>
        </w:rPr>
        <w:t xml:space="preserve">. Una estrategia en el sentido bélico que tenía como enemigo a toda la sociedad. </w:t>
      </w:r>
    </w:p>
    <w:p w:rsidR="00E43A75" w:rsidRPr="00E43A75" w:rsidRDefault="00E43A75" w:rsidP="00E43A75">
      <w:pPr>
        <w:jc w:val="both"/>
        <w:rPr>
          <w:szCs w:val="22"/>
        </w:rPr>
      </w:pPr>
    </w:p>
    <w:p w:rsidR="00E43A75" w:rsidRDefault="00E43A75" w:rsidP="00E43A75">
      <w:pPr>
        <w:jc w:val="both"/>
        <w:rPr>
          <w:szCs w:val="22"/>
        </w:rPr>
      </w:pPr>
      <w:r w:rsidRPr="00E43A75">
        <w:rPr>
          <w:szCs w:val="22"/>
        </w:rPr>
        <w:t xml:space="preserve">Cuando el FMI convierte al Estado en culpable de la inflación transfiere la responsabilidad económica al conjunto del tejido social y lo convierte en objeto de intervención, manipulación y control a través del ajuste y la política de shock. En la mirilla del FMI constaban como blancos a eliminar, los sentidos de lo público y las solidaridades sociales, de las cuales el Estado era garantía y momento. </w:t>
      </w:r>
    </w:p>
    <w:p w:rsidR="00E43A75" w:rsidRDefault="00E43A75" w:rsidP="00E43A75">
      <w:pPr>
        <w:jc w:val="both"/>
        <w:rPr>
          <w:szCs w:val="22"/>
        </w:rPr>
      </w:pPr>
    </w:p>
    <w:p w:rsidR="00E43A75" w:rsidRPr="00E43A75" w:rsidRDefault="00E43A75" w:rsidP="00E43A75">
      <w:pPr>
        <w:jc w:val="both"/>
        <w:rPr>
          <w:szCs w:val="22"/>
        </w:rPr>
      </w:pPr>
      <w:r w:rsidRPr="00E43A75">
        <w:rPr>
          <w:szCs w:val="22"/>
        </w:rPr>
        <w:t xml:space="preserve">Cuando el FMI, literalmente, se instala en el Estado para controlar la política económica, vulnera todo sentido de soberanía y convierte a la administración pública en un </w:t>
      </w:r>
      <w:r w:rsidRPr="00E43A75">
        <w:rPr>
          <w:i/>
          <w:szCs w:val="22"/>
        </w:rPr>
        <w:t>currency board</w:t>
      </w:r>
      <w:r w:rsidRPr="00E43A75">
        <w:rPr>
          <w:szCs w:val="22"/>
        </w:rPr>
        <w:t>, en una oficina dependiente de las decisiones coloniales de la metrópoli. El FMI somete al Estado a sus propias coordenadas de intervención y pone de manifiesto la estructura colonial del sistema mundo capitalista. Cuando el FMI somete al Estado, con el contubernio de sus aliados criollos, en realidad somete a toda la sociedad. El control del Estado, nunca tuvo como objetivos la estabilización o la macroeconomía sino el poder en su sentido más amplio, es decir, como colonización geopolítica y como colonialidad biopolítica.</w:t>
      </w:r>
    </w:p>
    <w:p w:rsidR="00E43A75" w:rsidRPr="00E43A75" w:rsidRDefault="00E43A75" w:rsidP="00E43A75">
      <w:pPr>
        <w:jc w:val="both"/>
        <w:rPr>
          <w:szCs w:val="22"/>
        </w:rPr>
      </w:pPr>
    </w:p>
    <w:p w:rsidR="00E43A75" w:rsidRPr="00E43A75" w:rsidRDefault="00E43A75" w:rsidP="00E43A75">
      <w:pPr>
        <w:jc w:val="both"/>
        <w:rPr>
          <w:szCs w:val="22"/>
        </w:rPr>
      </w:pPr>
      <w:r w:rsidRPr="00E43A75">
        <w:rPr>
          <w:szCs w:val="22"/>
        </w:rPr>
        <w:t xml:space="preserve">La conversión al Estado como enemigo público número uno, y como causante de los males que aquejan a la economía es uno de los </w:t>
      </w:r>
      <w:r w:rsidRPr="00E43A75">
        <w:rPr>
          <w:i/>
          <w:szCs w:val="22"/>
        </w:rPr>
        <w:t>leit motiv</w:t>
      </w:r>
      <w:r w:rsidRPr="00E43A75">
        <w:rPr>
          <w:szCs w:val="22"/>
        </w:rPr>
        <w:t xml:space="preserve"> del discurso económico del neoliberalismo, y parte de una premisa epistemológicamente discutible y metodológicamente falsa, pero políticamente conveniente: aquella de que los movimientos del acervo monetario (cantidad de moneda nacional) producen inflación, y que la inflación siempre está vinculada al déficit fiscal. Este déficit a su vez presiona al Estado por endeudamiento externo e interno. El endeudamiento externo crea la crisis en la balanza de pagos, mientras que el endeudamiento interno presiona por la expansión monetaria y, por esta vía, crea inflación.</w:t>
      </w:r>
    </w:p>
    <w:p w:rsidR="00E43A75" w:rsidRPr="00E43A75" w:rsidRDefault="00E43A75" w:rsidP="00E43A75">
      <w:pPr>
        <w:jc w:val="both"/>
        <w:rPr>
          <w:szCs w:val="22"/>
        </w:rPr>
      </w:pPr>
    </w:p>
    <w:p w:rsidR="00E43A75" w:rsidRDefault="00E43A75" w:rsidP="00E43A75">
      <w:pPr>
        <w:jc w:val="both"/>
        <w:rPr>
          <w:szCs w:val="22"/>
        </w:rPr>
      </w:pPr>
      <w:r w:rsidRPr="00E43A75">
        <w:rPr>
          <w:szCs w:val="22"/>
        </w:rPr>
        <w:t xml:space="preserve">El argumento del déficit fiscal como motor de la inflación es la </w:t>
      </w:r>
      <w:r w:rsidRPr="00E43A75">
        <w:rPr>
          <w:i/>
          <w:szCs w:val="22"/>
        </w:rPr>
        <w:t>doxa</w:t>
      </w:r>
      <w:r w:rsidRPr="00E43A75">
        <w:rPr>
          <w:szCs w:val="22"/>
        </w:rPr>
        <w:t xml:space="preserve"> del neoliberalismo. En virtud de esa </w:t>
      </w:r>
      <w:r w:rsidRPr="00E43A75">
        <w:rPr>
          <w:i/>
          <w:szCs w:val="22"/>
        </w:rPr>
        <w:t>doxa</w:t>
      </w:r>
      <w:r w:rsidRPr="00E43A75">
        <w:rPr>
          <w:szCs w:val="22"/>
        </w:rPr>
        <w:t xml:space="preserve"> (o mainstream), el Estado fue puesto en el banquillo de los acusados y se le obligó a asumir todas las responsabilidades de la inflación. Pero el Estado es algo más que un concepto abstracto de la teoría política moderna, el Estado expresa una realidad y un momento determinado en la lucha de clases y en las formas que asume la acumulación del capital. </w:t>
      </w:r>
    </w:p>
    <w:p w:rsidR="00E43A75" w:rsidRDefault="00E43A75" w:rsidP="00E43A75">
      <w:pPr>
        <w:jc w:val="both"/>
        <w:rPr>
          <w:szCs w:val="22"/>
        </w:rPr>
      </w:pPr>
    </w:p>
    <w:p w:rsidR="00E43A75" w:rsidRDefault="00E43A75" w:rsidP="00E43A75">
      <w:pPr>
        <w:jc w:val="both"/>
        <w:rPr>
          <w:szCs w:val="22"/>
        </w:rPr>
      </w:pPr>
      <w:r w:rsidRPr="00E43A75">
        <w:rPr>
          <w:szCs w:val="22"/>
        </w:rPr>
        <w:t xml:space="preserve">El Estado, en última instancia, es una creación de la sociedad. El Estado implica una forma política que asumen las relaciones de poder en una sociedad  en un momento histórico determinado. Convertir al Estado en el villano de la economía tenía como propósito desarmarlo para volver a rearmarlo sobre nuevas bases que expresen las nuevas relaciones de poder. </w:t>
      </w:r>
    </w:p>
    <w:p w:rsidR="00E43A75" w:rsidRDefault="00E43A75" w:rsidP="00E43A75">
      <w:pPr>
        <w:jc w:val="both"/>
        <w:rPr>
          <w:szCs w:val="22"/>
        </w:rPr>
      </w:pPr>
    </w:p>
    <w:p w:rsidR="00E43A75" w:rsidRDefault="00E43A75" w:rsidP="00E43A75">
      <w:pPr>
        <w:jc w:val="both"/>
        <w:rPr>
          <w:szCs w:val="22"/>
        </w:rPr>
      </w:pPr>
      <w:r w:rsidRPr="00E43A75">
        <w:rPr>
          <w:szCs w:val="22"/>
        </w:rPr>
        <w:t xml:space="preserve">El discurso del déficit fiscal fue el </w:t>
      </w:r>
      <w:r w:rsidRPr="00E43A75">
        <w:rPr>
          <w:i/>
          <w:szCs w:val="22"/>
        </w:rPr>
        <w:t>password</w:t>
      </w:r>
      <w:r w:rsidRPr="00E43A75">
        <w:rPr>
          <w:szCs w:val="22"/>
        </w:rPr>
        <w:t xml:space="preserve">, o la palabra clave en la deconstrucción del Estado como sentido de lo público, y su reconstrucción como espacio determinado desde las relaciones mercantiles y el poder de las corporaciones y el capital financiero. El territorio en el que se disputó ese nuevo sentido del Estado, en las primeras horas del neoliberalismo, fue el presupuesto público, vale decir, la política fiscal, y la política monetaria. </w:t>
      </w:r>
    </w:p>
    <w:p w:rsidR="00E43A75" w:rsidRDefault="00E43A75" w:rsidP="00E43A75">
      <w:pPr>
        <w:jc w:val="both"/>
        <w:rPr>
          <w:szCs w:val="22"/>
        </w:rPr>
      </w:pPr>
    </w:p>
    <w:p w:rsidR="00E43A75" w:rsidRDefault="00E43A75" w:rsidP="00E43A75">
      <w:pPr>
        <w:jc w:val="both"/>
        <w:rPr>
          <w:szCs w:val="22"/>
        </w:rPr>
      </w:pPr>
      <w:r w:rsidRPr="00E43A75">
        <w:rPr>
          <w:szCs w:val="22"/>
        </w:rPr>
        <w:t xml:space="preserve">La disputa por definir y controlar el presupuesto del Estado, fue la primera forma por intervenir a todo el Estado, entendido a éste en su sentido más amplio, es decir, como contractualidad y como gubernamentalidad. El control </w:t>
      </w:r>
      <w:r>
        <w:rPr>
          <w:szCs w:val="22"/>
        </w:rPr>
        <w:t>a</w:t>
      </w:r>
      <w:r w:rsidRPr="00E43A75">
        <w:rPr>
          <w:szCs w:val="22"/>
        </w:rPr>
        <w:t xml:space="preserve">l Estado le permitía, tanto al FMI cuanto a los grupos financieros, cambiar la geometría del poder y de la lucha de clases. </w:t>
      </w:r>
    </w:p>
    <w:p w:rsidR="00E43A75" w:rsidRDefault="00E43A75" w:rsidP="00E43A75">
      <w:pPr>
        <w:jc w:val="both"/>
        <w:rPr>
          <w:szCs w:val="22"/>
        </w:rPr>
      </w:pPr>
    </w:p>
    <w:p w:rsidR="00E43A75" w:rsidRPr="00E43A75" w:rsidRDefault="00E43A75" w:rsidP="00E43A75">
      <w:pPr>
        <w:jc w:val="both"/>
        <w:rPr>
          <w:szCs w:val="22"/>
        </w:rPr>
      </w:pPr>
      <w:r w:rsidRPr="00E43A75">
        <w:rPr>
          <w:szCs w:val="22"/>
        </w:rPr>
        <w:t>A partir de esta intervención podía imponerse la lógica del ajuste como lógicas de contractualidad y de gubernamentalidad. Por la vía del control al Estado, las razones del FMI se convierten en razones de Estado, y las necesidades económicas de los nuevos grupos de poder se transforman en necesidades políticas que se validan y construyen históricamente, es decir, conforman la lógica y la racionalidad de la acción del gobierno.</w:t>
      </w:r>
    </w:p>
    <w:p w:rsidR="00E43A75" w:rsidRPr="00E43A75" w:rsidRDefault="00E43A75" w:rsidP="00E43A75">
      <w:pPr>
        <w:jc w:val="both"/>
        <w:rPr>
          <w:szCs w:val="22"/>
        </w:rPr>
      </w:pPr>
    </w:p>
    <w:p w:rsidR="00E43A75" w:rsidRPr="00E43A75" w:rsidRDefault="00E43A75" w:rsidP="00E43A75">
      <w:pPr>
        <w:jc w:val="both"/>
        <w:rPr>
          <w:szCs w:val="22"/>
        </w:rPr>
      </w:pPr>
      <w:r w:rsidRPr="00E43A75">
        <w:rPr>
          <w:szCs w:val="22"/>
        </w:rPr>
        <w:t xml:space="preserve">La disputa sobre la política fiscal convierte al ajuste estructural en una disputa política. Para transformar la política fiscal, es decir la dirección de la política pública, se necesita del contubernio y complicidad del sistema político. Es el sistema político, con la complicidad de todos los partidos políticos, de toda la clase política y la institucionalidad existente, el que permite procesar las reformas jurídicas e institucionales necesarias para el ajuste neoliberal del FMI, y el que desfigura la democracia y la convierte en un mecanismos de consensos sobre el ajuste. </w:t>
      </w:r>
      <w:r>
        <w:rPr>
          <w:szCs w:val="22"/>
        </w:rPr>
        <w:t>Fueron ellos los que aprobaron las leyes de presupuesto, de control del personal del sector público, de flexibilización salarial, etc.</w:t>
      </w:r>
    </w:p>
    <w:p w:rsidR="00E43A75" w:rsidRPr="00E43A75" w:rsidRDefault="00E43A75" w:rsidP="00E43A75">
      <w:pPr>
        <w:jc w:val="both"/>
        <w:rPr>
          <w:szCs w:val="22"/>
        </w:rPr>
      </w:pPr>
    </w:p>
    <w:p w:rsidR="00E43A75" w:rsidRDefault="00E43A75" w:rsidP="00E43A75">
      <w:pPr>
        <w:jc w:val="both"/>
        <w:rPr>
          <w:szCs w:val="22"/>
        </w:rPr>
      </w:pPr>
      <w:r w:rsidRPr="00E43A75">
        <w:rPr>
          <w:szCs w:val="22"/>
        </w:rPr>
        <w:t xml:space="preserve">La episteme de las Cartas de Intención y la parafernalia discursiva del déficit fiscal, del déficit de la balanza de pagos, y de la crisis económica, se convierten en una axiomática que no admite réplicas, críticas y reclamos, y que a la larga le sirven de coraza de protección y justificación al sistema político para procesar las reformas pertinentes y atinentes al ajuste neoliberal. </w:t>
      </w:r>
    </w:p>
    <w:p w:rsidR="00E43A75" w:rsidRDefault="00E43A75" w:rsidP="00E43A75">
      <w:pPr>
        <w:jc w:val="both"/>
        <w:rPr>
          <w:szCs w:val="22"/>
        </w:rPr>
      </w:pPr>
    </w:p>
    <w:p w:rsidR="00E43A75" w:rsidRPr="00E43A75" w:rsidRDefault="00E43A75" w:rsidP="00E43A75">
      <w:pPr>
        <w:jc w:val="both"/>
        <w:rPr>
          <w:szCs w:val="22"/>
        </w:rPr>
      </w:pPr>
      <w:r w:rsidRPr="00E43A75">
        <w:rPr>
          <w:szCs w:val="22"/>
        </w:rPr>
        <w:t xml:space="preserve">Es en virtud de ello que se aprueban un conjunto de leyes destinadas a transferir la soberanía de la política económica al FMI, sobre todo en el ámbito fiscal, y se justifican esas leyes con el discurso de la crisis que había sido construido por el mismo FMI. Las razones de Estado no se discuten, y el FMI convirtió al ajuste macroeconómico, con la complicidad del sistema político, como ajuste macrofiscal, es decir, como razón de Estado. </w:t>
      </w:r>
    </w:p>
    <w:p w:rsidR="00E43A75" w:rsidRPr="00E43A75" w:rsidRDefault="00E43A75" w:rsidP="00E43A75">
      <w:pPr>
        <w:jc w:val="both"/>
        <w:rPr>
          <w:szCs w:val="22"/>
        </w:rPr>
      </w:pPr>
    </w:p>
    <w:p w:rsidR="00E43A75" w:rsidRPr="00E43A75" w:rsidRDefault="00E43A75" w:rsidP="00E43A75">
      <w:pPr>
        <w:jc w:val="both"/>
        <w:rPr>
          <w:szCs w:val="22"/>
        </w:rPr>
      </w:pPr>
      <w:r w:rsidRPr="00E43A75">
        <w:rPr>
          <w:szCs w:val="22"/>
        </w:rPr>
        <w:t>Así, las elites, el sistema político, el FMI y el Banco Mundial transforman al Estado y lo ponen en sintonía de las necesidades de la acumulación del capital y del nuevo sentido que asume la lucha de clases: el Estado que de alguna manera era un espacio de disputa de sentidos al interior de la estrategia de industrialización, se convierte ahora en enemigo social. Las políticas de shock generan desconfianza, suspicacia y temor hacia el Estado. El FMI ha conseguido, gracias a las políticas de shock, cambiar la percepción del Estado y asumirlo desde ahora como Estado hobbesiano, como Estado leviatán. El primer paso para la privatización del Estado ha sido dado. El ajuste, en realidad, no es una estrategia económica, es básicamente una disputa política que busca construir la primera de las figuras del Estado mínimo neoliberal: el Estado estable.</w:t>
      </w:r>
    </w:p>
    <w:p w:rsidR="00E43A75" w:rsidRPr="00E43A75" w:rsidRDefault="00E43A75" w:rsidP="00E43A75">
      <w:pPr>
        <w:jc w:val="both"/>
        <w:rPr>
          <w:szCs w:val="22"/>
        </w:rPr>
      </w:pPr>
    </w:p>
    <w:p w:rsidR="00E43A75" w:rsidRDefault="00E43A75" w:rsidP="00E43A75">
      <w:pPr>
        <w:jc w:val="both"/>
        <w:rPr>
          <w:szCs w:val="22"/>
        </w:rPr>
      </w:pPr>
      <w:r w:rsidRPr="00E43A75">
        <w:rPr>
          <w:szCs w:val="22"/>
        </w:rPr>
        <w:t xml:space="preserve">El control colonial y colonizante sobre el Estado, por la vía de la política fiscal, se ampara, legitima y construye con una discursividad recurrente y sustentada en la episteme tecno-burocrática del FMI y del Banco Mundial, por ejemplo todo aquel discurso que habla en los siguientes términos: </w:t>
      </w:r>
      <w:r w:rsidRPr="00E43A75">
        <w:rPr>
          <w:i/>
          <w:szCs w:val="22"/>
        </w:rPr>
        <w:t>el ajuste como necesidad macroeconómica y sustentada en la disciplina fiscal; la sostenibilidad al mediano plazo medida en el superávit fiscal primario; la necesidad de controlar el comportamiento expansivo del gasto salarial y la inversión pública, que implican fragilidad fiscal; la baja calidad y no transparencia del gasto fiscal; la necesidad de reglas macrofiscales y reformas tributarias transparentes, claras, flexibles; el carácter procíclico de los ingresos fiscales; la estabilización a largo plazo de la política fiscal</w:t>
      </w:r>
      <w:r w:rsidRPr="00E43A75">
        <w:rPr>
          <w:szCs w:val="22"/>
        </w:rPr>
        <w:t>, etc</w:t>
      </w:r>
      <w:r w:rsidRPr="00E43A75">
        <w:rPr>
          <w:rStyle w:val="Refdenotaalpie"/>
          <w:szCs w:val="22"/>
        </w:rPr>
        <w:footnoteReference w:id="6"/>
      </w:r>
      <w:r w:rsidRPr="00E43A75">
        <w:rPr>
          <w:szCs w:val="22"/>
        </w:rPr>
        <w:t xml:space="preserve">. </w:t>
      </w:r>
    </w:p>
    <w:p w:rsidR="00E43A75" w:rsidRPr="00E43A75" w:rsidRDefault="00E43A75" w:rsidP="00E43A75">
      <w:pPr>
        <w:jc w:val="both"/>
        <w:rPr>
          <w:szCs w:val="22"/>
        </w:rPr>
      </w:pPr>
    </w:p>
    <w:p w:rsidR="00E43A75" w:rsidRDefault="00E43A75" w:rsidP="00E43A75">
      <w:pPr>
        <w:jc w:val="both"/>
        <w:rPr>
          <w:szCs w:val="22"/>
        </w:rPr>
      </w:pPr>
      <w:r w:rsidRPr="00E43A75">
        <w:rPr>
          <w:szCs w:val="22"/>
        </w:rPr>
        <w:t xml:space="preserve">La connivencia del sistema político al aprobar las leyes que permiten la imposición del ajuste demuestra que el ajuste va más allá de la economía y del discurso de los desequilibrios macroeconómicos, y que expresa una realidad política inherente a las nuevas formas que asume la lucha de clases que transforman al Estado y lo ponen en la vía de su ulterior privatización. El ajuste despolitiza al Estado, y desaloja del Estado a los actores que podían darle algún sentido social y público. </w:t>
      </w:r>
    </w:p>
    <w:p w:rsidR="00E43A75" w:rsidRPr="00E43A75" w:rsidRDefault="00E43A75" w:rsidP="00E43A75">
      <w:pPr>
        <w:jc w:val="both"/>
        <w:rPr>
          <w:szCs w:val="22"/>
        </w:rPr>
      </w:pPr>
    </w:p>
    <w:p w:rsidR="00E43A75" w:rsidRDefault="00E43A75" w:rsidP="00E43A75">
      <w:pPr>
        <w:jc w:val="both"/>
        <w:rPr>
          <w:szCs w:val="22"/>
        </w:rPr>
      </w:pPr>
      <w:r w:rsidRPr="00E43A75">
        <w:rPr>
          <w:szCs w:val="22"/>
        </w:rPr>
        <w:t>Se trata</w:t>
      </w:r>
      <w:r>
        <w:rPr>
          <w:szCs w:val="22"/>
        </w:rPr>
        <w:t>ba</w:t>
      </w:r>
      <w:r w:rsidRPr="00E43A75">
        <w:rPr>
          <w:szCs w:val="22"/>
        </w:rPr>
        <w:t xml:space="preserve"> de medidas que afecta</w:t>
      </w:r>
      <w:r>
        <w:rPr>
          <w:szCs w:val="22"/>
        </w:rPr>
        <w:t>ro</w:t>
      </w:r>
      <w:r w:rsidRPr="00E43A75">
        <w:rPr>
          <w:szCs w:val="22"/>
        </w:rPr>
        <w:t xml:space="preserve">n de manera directa la relación ingreso-consumo de vastos sectores de la sociedad y que golpean con fuerza en los sectores más vulnerables. En sociedades en donde el empleo casi siempre era un albur, y en las que existían intentos de industrialización, implementar una política de shock de esas características implica fragmentar de manera importante las solidaridades sociales y crear un ambiente de miedo e incertidumbre que se traduce en la desconfianza con respecto al Estado, a la política económica y al futuro. </w:t>
      </w:r>
    </w:p>
    <w:p w:rsidR="00E43A75" w:rsidRDefault="00E43A75" w:rsidP="00E43A75">
      <w:pPr>
        <w:jc w:val="both"/>
        <w:rPr>
          <w:szCs w:val="22"/>
        </w:rPr>
      </w:pPr>
    </w:p>
    <w:p w:rsidR="00E43A75" w:rsidRDefault="00E43A75" w:rsidP="00E43A75">
      <w:pPr>
        <w:jc w:val="both"/>
        <w:rPr>
          <w:szCs w:val="22"/>
        </w:rPr>
      </w:pPr>
      <w:r w:rsidRPr="00E43A75">
        <w:rPr>
          <w:szCs w:val="22"/>
        </w:rPr>
        <w:t>Las políticas de ajuste</w:t>
      </w:r>
      <w:r>
        <w:rPr>
          <w:szCs w:val="22"/>
        </w:rPr>
        <w:t xml:space="preserve"> también</w:t>
      </w:r>
      <w:r w:rsidRPr="00E43A75">
        <w:rPr>
          <w:szCs w:val="22"/>
        </w:rPr>
        <w:t xml:space="preserve"> fragmentan de manera radical el sentido de democracia como posibilidad de convivencia y solidaridad social, y crean el espacio para que la democracia sea en realidad el espacio de disputa y recambio político de las nuevas elites del poder. El ajuste desgasta a la democracia y también al sistema político. Las políticas de ajuste generan miedo social, provocan incertidumbre, y utilizan de manera estratégica la escasez. Se trata de experimentos de tecnología política sobre los sectores más pobres para neutralizarlos políticamente y asimilarlos a las nuevas lógicas mercantiles. </w:t>
      </w:r>
    </w:p>
    <w:p w:rsidR="00E43A75" w:rsidRDefault="00E43A75" w:rsidP="00E43A75">
      <w:pPr>
        <w:jc w:val="both"/>
        <w:rPr>
          <w:szCs w:val="22"/>
        </w:rPr>
      </w:pPr>
    </w:p>
    <w:p w:rsidR="00E43A75" w:rsidRPr="00E43A75" w:rsidRDefault="00E43A75" w:rsidP="00E43A75">
      <w:pPr>
        <w:jc w:val="both"/>
        <w:rPr>
          <w:szCs w:val="22"/>
        </w:rPr>
      </w:pPr>
      <w:r w:rsidRPr="00E43A75">
        <w:rPr>
          <w:szCs w:val="22"/>
        </w:rPr>
        <w:t>Esos sectores van a desarrollar a posteriori un comportamiento estratégico ante el sistema político que será la base de sustentación del clientelismo político y del populismo de los programas de focalización del Banco Mundial. El FMI no solo crea recesión, pobreza, iniquidad, sino también crea las bases para el populismo político y para el clientelismo social.</w:t>
      </w:r>
    </w:p>
    <w:p w:rsidR="00E43A75" w:rsidRPr="00E43A75" w:rsidRDefault="00E43A75" w:rsidP="00E43A75">
      <w:pPr>
        <w:jc w:val="both"/>
        <w:rPr>
          <w:szCs w:val="22"/>
        </w:rPr>
      </w:pPr>
    </w:p>
    <w:p w:rsidR="00E43A75" w:rsidRDefault="00E43A75" w:rsidP="00E43A75">
      <w:pPr>
        <w:jc w:val="both"/>
        <w:rPr>
          <w:szCs w:val="22"/>
        </w:rPr>
      </w:pPr>
      <w:r w:rsidRPr="00E43A75">
        <w:rPr>
          <w:szCs w:val="22"/>
        </w:rPr>
        <w:t xml:space="preserve">Las Cartas de Intención del FMI también producen una diferenciación al interior del gasto fiscal entre </w:t>
      </w:r>
      <w:r w:rsidRPr="00E43A75">
        <w:rPr>
          <w:i/>
          <w:szCs w:val="22"/>
        </w:rPr>
        <w:t>gasto corriente</w:t>
      </w:r>
      <w:r w:rsidRPr="00E43A75">
        <w:rPr>
          <w:szCs w:val="22"/>
        </w:rPr>
        <w:t xml:space="preserve"> y </w:t>
      </w:r>
      <w:r w:rsidRPr="00E43A75">
        <w:rPr>
          <w:i/>
          <w:szCs w:val="22"/>
        </w:rPr>
        <w:t>gasto de inversión</w:t>
      </w:r>
      <w:r w:rsidRPr="00E43A75">
        <w:rPr>
          <w:szCs w:val="22"/>
        </w:rPr>
        <w:t>. Esta diferenciación complementa aquella otra que se hizo al inicio del ajuste y es la separación entre el gasto fiscal y el gas</w:t>
      </w:r>
      <w:r>
        <w:rPr>
          <w:szCs w:val="22"/>
        </w:rPr>
        <w:t>to por pago de la deuda externa.</w:t>
      </w:r>
      <w:r w:rsidRPr="00E43A75">
        <w:rPr>
          <w:szCs w:val="22"/>
        </w:rPr>
        <w:t xml:space="preserve"> Esta primera separación que logró proteger de todo arbitr</w:t>
      </w:r>
      <w:r>
        <w:rPr>
          <w:szCs w:val="22"/>
        </w:rPr>
        <w:t>io el pago de la deuda externa.</w:t>
      </w:r>
    </w:p>
    <w:p w:rsidR="00E43A75" w:rsidRPr="00E43A75" w:rsidRDefault="00E43A75" w:rsidP="00E43A75">
      <w:pPr>
        <w:jc w:val="both"/>
        <w:rPr>
          <w:szCs w:val="22"/>
        </w:rPr>
      </w:pPr>
    </w:p>
    <w:p w:rsidR="00B87F23" w:rsidRDefault="00E43A75" w:rsidP="00E43A75">
      <w:pPr>
        <w:jc w:val="both"/>
        <w:rPr>
          <w:szCs w:val="22"/>
        </w:rPr>
      </w:pPr>
      <w:r w:rsidRPr="00E43A75">
        <w:rPr>
          <w:szCs w:val="22"/>
        </w:rPr>
        <w:t xml:space="preserve">El concepto que les permite la transferencia del costo fiscal hacia los trabajadores será aquel del </w:t>
      </w:r>
      <w:r w:rsidRPr="00E43A75">
        <w:rPr>
          <w:i/>
          <w:szCs w:val="22"/>
        </w:rPr>
        <w:t>“gasto fiscal corriente”</w:t>
      </w:r>
      <w:r w:rsidRPr="00E43A75">
        <w:rPr>
          <w:szCs w:val="22"/>
        </w:rPr>
        <w:t xml:space="preserve">, es decir, el gasto fiscal en sueldos, remuneraciones y sostenimiento del gobierno. Si la inflación depende del déficit fiscal, éste a su vez está determinado por las presiones salariales de los trabajadores del sector público. </w:t>
      </w:r>
    </w:p>
    <w:p w:rsidR="00E43A75" w:rsidRPr="00E43A75" w:rsidRDefault="00E43A75" w:rsidP="00E43A75">
      <w:pPr>
        <w:jc w:val="both"/>
        <w:rPr>
          <w:szCs w:val="22"/>
        </w:rPr>
      </w:pPr>
    </w:p>
    <w:p w:rsidR="00B87F23" w:rsidRDefault="00B87F23" w:rsidP="00E43A75">
      <w:pPr>
        <w:jc w:val="both"/>
        <w:rPr>
          <w:szCs w:val="22"/>
        </w:rPr>
      </w:pPr>
      <w:r>
        <w:rPr>
          <w:szCs w:val="22"/>
        </w:rPr>
        <w:t>Así, l</w:t>
      </w:r>
      <w:r w:rsidR="00E43A75" w:rsidRPr="00E43A75">
        <w:rPr>
          <w:szCs w:val="22"/>
        </w:rPr>
        <w:t xml:space="preserve">a culpa de la inflación no estaría en las medidas draconianas del FMI ni en su estrategia de shock, la culpa de la inflación, según el FMI y sus corifeos, está en los sindicatos públicos que demandan contratos colectivos lesivos para el Estado y la sociedad. El sistema político, por la presión del FMI, empezará a discriminar a los trabajadores trazando una línea divisoria entre los obreros y los servidores públicos. </w:t>
      </w:r>
    </w:p>
    <w:p w:rsidR="00B87F23" w:rsidRDefault="00B87F23" w:rsidP="00E43A75">
      <w:pPr>
        <w:jc w:val="both"/>
        <w:rPr>
          <w:szCs w:val="22"/>
        </w:rPr>
      </w:pPr>
    </w:p>
    <w:p w:rsidR="00B87F23" w:rsidRDefault="00E43A75" w:rsidP="00E43A75">
      <w:pPr>
        <w:jc w:val="both"/>
        <w:rPr>
          <w:szCs w:val="22"/>
        </w:rPr>
      </w:pPr>
      <w:r w:rsidRPr="00E43A75">
        <w:rPr>
          <w:szCs w:val="22"/>
        </w:rPr>
        <w:t xml:space="preserve">La idea es que los trabajadores del sector público no puedan ser considerados como obreros sino como servidores públicos y, por tanto, el trabajo en el Estado pueda ser flexibilizado. </w:t>
      </w:r>
    </w:p>
    <w:p w:rsidR="00B87F23" w:rsidRDefault="00B87F23" w:rsidP="00E43A75">
      <w:pPr>
        <w:jc w:val="both"/>
        <w:rPr>
          <w:szCs w:val="22"/>
        </w:rPr>
      </w:pPr>
    </w:p>
    <w:p w:rsidR="00B87F23" w:rsidRDefault="00E43A75" w:rsidP="00E43A75">
      <w:pPr>
        <w:jc w:val="both"/>
        <w:rPr>
          <w:szCs w:val="22"/>
        </w:rPr>
      </w:pPr>
      <w:r w:rsidRPr="00E43A75">
        <w:rPr>
          <w:szCs w:val="22"/>
        </w:rPr>
        <w:t xml:space="preserve">Es por ello toda la parafernalia de leyes, decretos y normas en contra de los trabajadores públicos que se generan durante el neoliberalismo al tenor de la flexibilización laboral. Hay toda una ideología que sataniza al sindicato público y lo convierte en la víctima propiciatoria del ajuste macrofiscal. </w:t>
      </w:r>
    </w:p>
    <w:p w:rsidR="00B87F23" w:rsidRDefault="00B87F23" w:rsidP="00E43A75">
      <w:pPr>
        <w:jc w:val="both"/>
        <w:rPr>
          <w:szCs w:val="22"/>
        </w:rPr>
      </w:pPr>
    </w:p>
    <w:p w:rsidR="00E43A75" w:rsidRPr="00E43A75" w:rsidRDefault="00E43A75" w:rsidP="00E43A75">
      <w:pPr>
        <w:jc w:val="both"/>
        <w:rPr>
          <w:szCs w:val="22"/>
        </w:rPr>
      </w:pPr>
      <w:r w:rsidRPr="00E43A75">
        <w:rPr>
          <w:szCs w:val="22"/>
        </w:rPr>
        <w:t xml:space="preserve">En virtud de que el Estado había asumido importantes decisiones económicas inscritas en la dinámica del modelo de industrialización, y que esas decisiones de industrialización pasaban por el reconocimiento de los derechos políticos de los trabajadores públicos, y que éstos tenían una gran capacidad de movilización social, amén de un proyecto político, era fundamental, para el FMI y sus aliados locales, destruir esa capacidad de movilización política del sindicato público, de tal manera que se pueda llevar adelante la estrategia de privatización y desregulación. </w:t>
      </w:r>
    </w:p>
    <w:p w:rsidR="00E43A75" w:rsidRPr="00E43A75" w:rsidRDefault="00E43A75" w:rsidP="00E43A75">
      <w:pPr>
        <w:jc w:val="both"/>
        <w:rPr>
          <w:szCs w:val="22"/>
        </w:rPr>
      </w:pPr>
    </w:p>
    <w:p w:rsidR="00E43A75" w:rsidRPr="00E43A75" w:rsidRDefault="00E43A75" w:rsidP="00E43A75">
      <w:pPr>
        <w:jc w:val="both"/>
        <w:rPr>
          <w:szCs w:val="22"/>
        </w:rPr>
      </w:pPr>
      <w:r w:rsidRPr="00E43A75">
        <w:rPr>
          <w:szCs w:val="22"/>
        </w:rPr>
        <w:t xml:space="preserve">Al ser un obstáculo en el proyecto del neoliberalismo, el sindicato público se convertía por la taumaturgia del ajuste, y gracias al concepto de “gasto fiscal corriente”, en enemigo social, en el enemigo público número uno de la estabilidad macroeconómica. El FMI, con el apoyo de los medios de comunicación y del sistema político, construye ese enemigo público en el trabajador del Estado y en el sindicato público, porque necesita romper las resistencias a su proyecto de privatización del Estado.  </w:t>
      </w:r>
    </w:p>
    <w:p w:rsidR="00E43A75" w:rsidRPr="00E43A75" w:rsidRDefault="00E43A75" w:rsidP="00E43A75">
      <w:pPr>
        <w:jc w:val="both"/>
        <w:rPr>
          <w:szCs w:val="22"/>
        </w:rPr>
      </w:pPr>
    </w:p>
    <w:p w:rsidR="00E43A75" w:rsidRPr="00E43A75" w:rsidRDefault="00E43A75" w:rsidP="00E43A75">
      <w:pPr>
        <w:jc w:val="both"/>
        <w:rPr>
          <w:szCs w:val="22"/>
        </w:rPr>
      </w:pPr>
      <w:r w:rsidRPr="00E43A75">
        <w:rPr>
          <w:szCs w:val="22"/>
        </w:rPr>
        <w:t>De la relación inflación-gasto fiscal corriente, se pasa a la necesidad de institucionalizar la disciplina fiscal como política de Estado, de tal manera que independientemente del gobierno de turno, éste cumpla religiosamente con los pagos de la deuda externa, y, al mismo tiempo, reduzca de manera sustantiva el gasto corriente, y, de ser posible, también el gasto de inversión. Es esta necesidad de institucionalizar el ajuste la que consta en los discursos de la “austeridad fiscal”, la “responsabilidad fiscal”, la “transparencia del sector público” y que, de hecho, estará como prioridad número uno en el Consenso de Washington. La idea de fondo, para el FMI, es tratar de llevar la austeridad y  la disciplina fiscal incluso al nivel contractual.</w:t>
      </w:r>
    </w:p>
    <w:p w:rsidR="00E43A75" w:rsidRPr="00E43A75" w:rsidRDefault="00E43A75" w:rsidP="00E43A75">
      <w:pPr>
        <w:jc w:val="both"/>
        <w:rPr>
          <w:szCs w:val="22"/>
        </w:rPr>
      </w:pPr>
    </w:p>
    <w:p w:rsidR="00B87F23" w:rsidRDefault="00E43A75" w:rsidP="00E43A75">
      <w:pPr>
        <w:jc w:val="both"/>
        <w:rPr>
          <w:szCs w:val="22"/>
        </w:rPr>
      </w:pPr>
      <w:r w:rsidRPr="00E43A75">
        <w:rPr>
          <w:szCs w:val="22"/>
        </w:rPr>
        <w:t xml:space="preserve">La suscripción de las Cartas de Intención implica que los países pasan a ser controlados de manera directa en su manejo económico por el staff del FMI. </w:t>
      </w:r>
    </w:p>
    <w:p w:rsidR="00B87F23" w:rsidRDefault="00B87F23" w:rsidP="00E43A75">
      <w:pPr>
        <w:jc w:val="both"/>
        <w:rPr>
          <w:szCs w:val="22"/>
        </w:rPr>
      </w:pPr>
    </w:p>
    <w:p w:rsidR="00E43A75" w:rsidRPr="00E43A75" w:rsidRDefault="00E43A75" w:rsidP="00E43A75">
      <w:pPr>
        <w:jc w:val="both"/>
        <w:rPr>
          <w:szCs w:val="22"/>
        </w:rPr>
      </w:pPr>
      <w:r w:rsidRPr="00E43A75">
        <w:rPr>
          <w:szCs w:val="22"/>
        </w:rPr>
        <w:t>Ninguna decisión económica le pertenece al país. Bajo esta cesión de soberanía, el FMI conformará misiones de vigilancia y control que tendrán el carácter de permanentes. Las Cartas de Intención del FMI demuestran de manera fehaciente la imposición neocolonial. Evidencian que la política económica durante el ajuste macrofiscal nunca se determinó en función de intereses nacionales, sino de aquellos de las elites y del FMI.</w:t>
      </w:r>
    </w:p>
    <w:p w:rsidR="00E43A75" w:rsidRPr="00E43A75" w:rsidRDefault="00E43A75" w:rsidP="00E43A75">
      <w:pPr>
        <w:jc w:val="both"/>
        <w:rPr>
          <w:szCs w:val="22"/>
        </w:rPr>
      </w:pPr>
    </w:p>
    <w:p w:rsidR="00B87F23" w:rsidRDefault="00E43A75" w:rsidP="00E43A75">
      <w:pPr>
        <w:jc w:val="both"/>
        <w:rPr>
          <w:szCs w:val="22"/>
        </w:rPr>
      </w:pPr>
      <w:r w:rsidRPr="00E43A75">
        <w:rPr>
          <w:szCs w:val="22"/>
        </w:rPr>
        <w:t xml:space="preserve">Ahora bien, más allá de la estrategia de estabilización y de la intervención sobre el presupuesto público y la política fiscal, que convierten al ajuste estructural en macrofiscal, está el hecho de que todos los gobiernos, independientemente de su color político, tuvieron que aceptar las imposiciones del FMI. </w:t>
      </w:r>
    </w:p>
    <w:p w:rsidR="00B87F23" w:rsidRDefault="00B87F23" w:rsidP="00E43A75">
      <w:pPr>
        <w:jc w:val="both"/>
        <w:rPr>
          <w:szCs w:val="22"/>
        </w:rPr>
      </w:pPr>
    </w:p>
    <w:p w:rsidR="00B87F23" w:rsidRDefault="00E43A75" w:rsidP="00E43A75">
      <w:pPr>
        <w:jc w:val="both"/>
        <w:rPr>
          <w:szCs w:val="22"/>
        </w:rPr>
      </w:pPr>
      <w:r w:rsidRPr="00E43A75">
        <w:rPr>
          <w:szCs w:val="22"/>
        </w:rPr>
        <w:t xml:space="preserve">El FMI demostraba de esta manera que su poder estaba por encima de cualquier coyuntura política. Al doblegar a la democracia a los requerimientos del ajuste macrofiscal y obligarla a asumir una radicalización del modelo neoliberal, la posibilidad de cambiar de modelo finalmente se fracturó. </w:t>
      </w:r>
    </w:p>
    <w:p w:rsidR="00B87F23" w:rsidRDefault="00B87F23" w:rsidP="00E43A75">
      <w:pPr>
        <w:jc w:val="both"/>
        <w:rPr>
          <w:szCs w:val="22"/>
        </w:rPr>
      </w:pPr>
    </w:p>
    <w:p w:rsidR="00E43A75" w:rsidRPr="00E43A75" w:rsidRDefault="00E43A75" w:rsidP="00E43A75">
      <w:pPr>
        <w:jc w:val="both"/>
        <w:rPr>
          <w:szCs w:val="22"/>
        </w:rPr>
      </w:pPr>
      <w:r w:rsidRPr="00E43A75">
        <w:rPr>
          <w:szCs w:val="22"/>
        </w:rPr>
        <w:t xml:space="preserve">El neoliberalismo nunca tuvo un triunfo tan importante como en el momento en el que logró disciplinar a la democracia a las coordenadas de la estabilidad macroeconómica. Finalmente, la democracia como opción de convivencia y construcción de consensos, se desgastó. La democracia devino en otro momento del ajuste macrofiscal. El sistema político perdió legitimidad y credibilidad. </w:t>
      </w:r>
    </w:p>
    <w:p w:rsidR="00E43A75" w:rsidRPr="00E43A75" w:rsidRDefault="00E43A75" w:rsidP="00E43A75">
      <w:pPr>
        <w:jc w:val="both"/>
        <w:rPr>
          <w:szCs w:val="22"/>
        </w:rPr>
      </w:pPr>
    </w:p>
    <w:p w:rsidR="00B87F23" w:rsidRDefault="00E43A75" w:rsidP="00E43A75">
      <w:pPr>
        <w:jc w:val="both"/>
        <w:rPr>
          <w:szCs w:val="22"/>
        </w:rPr>
      </w:pPr>
      <w:r w:rsidRPr="00E43A75">
        <w:rPr>
          <w:szCs w:val="22"/>
        </w:rPr>
        <w:t xml:space="preserve">Este desgaste del sistema político consolidó al clientelismo y al populismo, porque éstos se constituyeron en las salidas naturales al ajuste macrofiscal. El clientelismo y el populismo no solamente forman parte de la cultura política al interior del sistema político, sino que también son parte de una dinámica de la política fiscal y del uso estratégico de los recursos fiscales por parte de las elites. </w:t>
      </w:r>
    </w:p>
    <w:p w:rsidR="00B87F23" w:rsidRDefault="00B87F23" w:rsidP="00E43A75">
      <w:pPr>
        <w:jc w:val="both"/>
        <w:rPr>
          <w:szCs w:val="22"/>
        </w:rPr>
      </w:pPr>
    </w:p>
    <w:p w:rsidR="00B87F23" w:rsidRDefault="00E43A75" w:rsidP="00E43A75">
      <w:pPr>
        <w:jc w:val="both"/>
        <w:rPr>
          <w:szCs w:val="22"/>
        </w:rPr>
      </w:pPr>
      <w:r w:rsidRPr="00E43A75">
        <w:rPr>
          <w:szCs w:val="22"/>
        </w:rPr>
        <w:t xml:space="preserve">En virtud de las draconianas medidas de austeridad fiscal del FMI, y del control y monitoreo de las cuentas fiscales ejercidos por las misiones del FMI, el sistema político creó un régimen de excepcionalidades para sortear la dureza de la disciplina fiscal y fortalecer sus posiciones políticas. Este uso estratégico del presupuesto público ha sido denominado como “ciclo político de la economía”, pero en realidad expresa la necesidad de las elites de salir de la camisa de fuerza del ajuste neoliberal a través de comportamientos estratégicos y perversos. </w:t>
      </w:r>
    </w:p>
    <w:p w:rsidR="00B87F23" w:rsidRDefault="00B87F23" w:rsidP="00E43A75">
      <w:pPr>
        <w:jc w:val="both"/>
        <w:rPr>
          <w:szCs w:val="22"/>
        </w:rPr>
      </w:pPr>
    </w:p>
    <w:p w:rsidR="00E43A75" w:rsidRPr="00E43A75" w:rsidRDefault="00E43A75" w:rsidP="00E43A75">
      <w:pPr>
        <w:jc w:val="both"/>
        <w:rPr>
          <w:szCs w:val="22"/>
        </w:rPr>
      </w:pPr>
      <w:r w:rsidRPr="00E43A75">
        <w:rPr>
          <w:szCs w:val="22"/>
        </w:rPr>
        <w:t xml:space="preserve">El ciclo político de la economía no está presente solamente en vísperas de las elecciones, sino a todo lo largo del modelo de ajuste macrofiscal y hace referencia a un uso político del presupuesto público en el que la disciplina fiscal está encaminada en contra de los trabajadores, en contra de la población, en contra de los pobres. </w:t>
      </w:r>
    </w:p>
    <w:p w:rsidR="00E43A75" w:rsidRPr="00E43A75" w:rsidRDefault="00E43A75" w:rsidP="00E43A75">
      <w:pPr>
        <w:jc w:val="both"/>
        <w:rPr>
          <w:szCs w:val="22"/>
        </w:rPr>
      </w:pPr>
    </w:p>
    <w:p w:rsidR="00B87F23" w:rsidRDefault="00E43A75" w:rsidP="00E43A75">
      <w:pPr>
        <w:jc w:val="both"/>
        <w:rPr>
          <w:szCs w:val="22"/>
        </w:rPr>
      </w:pPr>
      <w:r w:rsidRPr="00E43A75">
        <w:rPr>
          <w:szCs w:val="22"/>
        </w:rPr>
        <w:t xml:space="preserve">Las elites desarrollaron una serie de mecanismos para salir el momento que consideren pertinente de la disciplina fiscal, uno de esos mecanismos fueron las preasignaciones del presupuesto gubernamental. Se tratan de mecanismos que neutralizan la disciplina fiscal en ciertos sectores políticamente sensibles, en la ocurrencia, los gobiernos seccionales manejados por las elites y desde los cuales se estaba construyendo un nuevo sentido de reforma política y cuya expresión más radical estaría en el proyecto de descentralización y de reforma política del Estado, en el cual estaba involucrado el Banco Mundial y las agencias de la cooperación internacional al desarrollo. </w:t>
      </w:r>
    </w:p>
    <w:p w:rsidR="00B87F23" w:rsidRDefault="00B87F23" w:rsidP="00E43A75">
      <w:pPr>
        <w:jc w:val="both"/>
        <w:rPr>
          <w:szCs w:val="22"/>
        </w:rPr>
      </w:pPr>
    </w:p>
    <w:p w:rsidR="00E43A75" w:rsidRPr="00E43A75" w:rsidRDefault="00E43A75" w:rsidP="00E43A75">
      <w:pPr>
        <w:jc w:val="both"/>
        <w:rPr>
          <w:szCs w:val="22"/>
        </w:rPr>
      </w:pPr>
      <w:r w:rsidRPr="00E43A75">
        <w:rPr>
          <w:szCs w:val="22"/>
        </w:rPr>
        <w:t xml:space="preserve">Los gobiernos locales y regionales, o como los denomina el Banco Mundial, “subnacionales”, son los pivotes claves en la generación de consensos y administración del poder, y en la conformación del nuevo modelo de contractualidad signado por el neoliberalismo. </w:t>
      </w:r>
    </w:p>
    <w:p w:rsidR="00E43A75" w:rsidRPr="00E43A75" w:rsidRDefault="00E43A75" w:rsidP="00E43A75">
      <w:pPr>
        <w:jc w:val="both"/>
        <w:rPr>
          <w:szCs w:val="22"/>
        </w:rPr>
      </w:pPr>
    </w:p>
    <w:p w:rsidR="00B87F23" w:rsidRDefault="00E43A75" w:rsidP="00E43A75">
      <w:pPr>
        <w:jc w:val="both"/>
        <w:rPr>
          <w:szCs w:val="22"/>
        </w:rPr>
      </w:pPr>
      <w:r w:rsidRPr="00E43A75">
        <w:rPr>
          <w:szCs w:val="22"/>
        </w:rPr>
        <w:t xml:space="preserve">A través del control de los gobiernos “subnacionales”, las elites pudieron tener acceso al control de todo el sistema político, de ahí que hayan buscado la forma de proteger esos espacios políticamente claves del rigor fondomonetarista. </w:t>
      </w:r>
    </w:p>
    <w:p w:rsidR="00B87F23" w:rsidRDefault="00B87F23" w:rsidP="00E43A75">
      <w:pPr>
        <w:jc w:val="both"/>
        <w:rPr>
          <w:szCs w:val="22"/>
        </w:rPr>
      </w:pPr>
    </w:p>
    <w:p w:rsidR="00B87F23" w:rsidRDefault="00E43A75" w:rsidP="00E43A75">
      <w:pPr>
        <w:jc w:val="both"/>
        <w:rPr>
          <w:szCs w:val="22"/>
        </w:rPr>
      </w:pPr>
      <w:r w:rsidRPr="00E43A75">
        <w:rPr>
          <w:szCs w:val="22"/>
        </w:rPr>
        <w:t xml:space="preserve">El ajuste se descargó en los sectores más vulnerables: los salarios de los trabajadores (públicos y privados), el empleo, el sector de la salud, la educación, los programas de atención social, la inversión pública social, y fue selectivo en aquellos espacios vitales para el poder, de ahí que la estrategia de la reforma política del Estado y de la descentralización salvó de la crisis a los gobiernos subnacionales, y permitió la legitimidad y la construcción de la hegemonía de las elites desde sus bases locales como argumentos importantes para la privatización territorial que vendría luego al tenor de la descentralización del Estado. </w:t>
      </w:r>
    </w:p>
    <w:p w:rsidR="00B87F23" w:rsidRDefault="00B87F23" w:rsidP="00E43A75">
      <w:pPr>
        <w:jc w:val="both"/>
        <w:rPr>
          <w:szCs w:val="22"/>
        </w:rPr>
      </w:pPr>
    </w:p>
    <w:p w:rsidR="00E43A75" w:rsidRPr="00E43A75" w:rsidRDefault="00E43A75" w:rsidP="00E43A75">
      <w:pPr>
        <w:jc w:val="both"/>
        <w:rPr>
          <w:szCs w:val="22"/>
        </w:rPr>
      </w:pPr>
      <w:r w:rsidRPr="00E43A75">
        <w:rPr>
          <w:szCs w:val="22"/>
        </w:rPr>
        <w:t xml:space="preserve">A través de la reforma política del Estado y de la descentralización, los gobiernos subnacionales manejados por caciques locales, muchos de ellos vinculados por el sistema político a los grupos financieros y a los sectores primario-exportadores, pudieron consolidar sus redes clientelares y fomentaron el populismo de la política pública. Nunca hubo, </w:t>
      </w:r>
      <w:r w:rsidRPr="00E43A75">
        <w:rPr>
          <w:i/>
          <w:szCs w:val="22"/>
        </w:rPr>
        <w:t>strictu sensu</w:t>
      </w:r>
      <w:r w:rsidRPr="00E43A75">
        <w:rPr>
          <w:szCs w:val="22"/>
        </w:rPr>
        <w:t xml:space="preserve">, disciplina y austeridad fiscal más que aquella dirigida en contra de los trabajadores. Cuando las elites requirieron de recursos del Estado, el FMI se hizo de la vista gorda y perdonó los excesos de las elites. </w:t>
      </w:r>
    </w:p>
    <w:p w:rsidR="00E43A75" w:rsidRDefault="00E43A75" w:rsidP="00BC06E2">
      <w:pPr>
        <w:spacing w:line="360" w:lineRule="auto"/>
        <w:jc w:val="both"/>
        <w:rPr>
          <w:sz w:val="22"/>
          <w:szCs w:val="22"/>
        </w:rPr>
      </w:pPr>
    </w:p>
    <w:p w:rsidR="00B11FF3" w:rsidRPr="00BE158A" w:rsidRDefault="00BE158A" w:rsidP="00B11FF3">
      <w:pPr>
        <w:jc w:val="both"/>
        <w:rPr>
          <w:b/>
          <w:szCs w:val="22"/>
        </w:rPr>
      </w:pPr>
      <w:r w:rsidRPr="00BE158A">
        <w:rPr>
          <w:b/>
          <w:szCs w:val="22"/>
        </w:rPr>
        <w:t>La reforma estructural neoliberal y el rol del Banco Mundial</w:t>
      </w:r>
    </w:p>
    <w:p w:rsidR="001D418E" w:rsidRPr="00134DEB" w:rsidRDefault="001D418E" w:rsidP="00134DEB">
      <w:pPr>
        <w:jc w:val="both"/>
      </w:pPr>
    </w:p>
    <w:p w:rsidR="00BE158A" w:rsidRDefault="00BE158A" w:rsidP="00134DEB">
      <w:pPr>
        <w:jc w:val="both"/>
      </w:pPr>
      <w:r>
        <w:t>Las políticas de ajuste del FMI son la condición de posibilida para que se generen las condiciones de mercantilización de la sociedad. El FMI acusa a los trabajadores de ser los responsables de la crisis por excederse en sus demandas salariales y, en consecuencia, obliga a entrar en un proceso de despidos y de desmantelamiento de la infraestructura pública. Esto crea las condiciones para los mercados sociales, en especial el mercado de la salud.</w:t>
      </w:r>
    </w:p>
    <w:p w:rsidR="00BE158A" w:rsidRDefault="00BE158A" w:rsidP="00134DEB">
      <w:pPr>
        <w:jc w:val="both"/>
      </w:pPr>
    </w:p>
    <w:p w:rsidR="00BE158A" w:rsidRDefault="00BE158A" w:rsidP="00134DEB">
      <w:pPr>
        <w:jc w:val="both"/>
      </w:pPr>
      <w:r>
        <w:t>Los médicos y el personal de salud se convierten en empresarios de la salud. De todas las complejas interrelaciones sociales que implica el concepto de salud, solamente se recuperan aquellas susceptibles de entrar en la lógica del mercado. Todas las demás se desechan. En esta lógica, el médico-empresario visualiza de forma atomizada a la salud y la ve como una oportunidad de negocios. En esta dinámica, la enfermedad se desvincula de quien la sufre y de la sociedad en la que vive. El médico-empresario valora la enfermedad dentro de la lógica del costo/beneficio. Esto convierte a quien sufre una dolencia en cliente y al tratamiento de la enfermedad en servicio. En virtud de que el cliente solamente pagará por el servicio de tratamiento médico, todo aquello que excede del servicio de tratamiento y que en realidad hace referencia al contexto social e histórico en el que viven el médico y el paciente, desaparecen de la lógica mercantil.</w:t>
      </w:r>
    </w:p>
    <w:p w:rsidR="00BE158A" w:rsidRDefault="00BE158A" w:rsidP="00134DEB">
      <w:pPr>
        <w:jc w:val="both"/>
      </w:pPr>
    </w:p>
    <w:p w:rsidR="0008219B" w:rsidRDefault="00BE158A" w:rsidP="00134DEB">
      <w:pPr>
        <w:jc w:val="both"/>
      </w:pPr>
      <w:r>
        <w:t xml:space="preserve">Sin embargo, para que este mecanismo funcione es necesario que exista un cambio en la regulación existente porque ésta no considera al tratamiento como servicio, ni al paciente como cliente, ni al personal de salud como empresarios. Los marcos jurídicos e institucionales existentes, aún conservan los restos de solidaridad social con los cuales fueron creados. </w:t>
      </w:r>
      <w:r w:rsidR="0008219B">
        <w:t>Es ahí en donde entra a jugar el Banco Mundial y sus proyectos de reforma estructural sectorial.</w:t>
      </w:r>
    </w:p>
    <w:p w:rsidR="0008219B" w:rsidRDefault="0008219B" w:rsidP="00134DEB">
      <w:pPr>
        <w:jc w:val="both"/>
      </w:pPr>
    </w:p>
    <w:p w:rsidR="0008219B" w:rsidRDefault="0008219B" w:rsidP="00134DEB">
      <w:pPr>
        <w:jc w:val="both"/>
      </w:pPr>
      <w:r>
        <w:t>Es decir, no solo se trata de privatizar al Estado y de limitar su responsabilidad con la sociedad, se trata también de enseñarle a la sociedad cómo es y cómo funciona el mercado. Se trata de crear las reglas de juego que permitan el funcionamiento de los mecanismos de mercado. Si en la sociedad aún subsisten lógicas de solidaridad, reciprocidad y convivialidad, es necesario fracturarlas para que solamente primen las lógicas del mercado.</w:t>
      </w:r>
    </w:p>
    <w:p w:rsidR="0008219B" w:rsidRDefault="0008219B" w:rsidP="00134DEB">
      <w:pPr>
        <w:jc w:val="both"/>
      </w:pPr>
    </w:p>
    <w:p w:rsidR="007634FB" w:rsidRDefault="0008219B" w:rsidP="00134DEB">
      <w:pPr>
        <w:jc w:val="both"/>
      </w:pPr>
      <w:r>
        <w:t>Los médicos y personal de salud, en un contexto de privatización y reducción del tamaño del Estado, tienen que aprender a maximizar sus expectativas. Tienen que comprender que no habrá nunca más un Estado providente, y que toda apelación a la solidaridad y reciprocidad es un hándicap para el mercado.</w:t>
      </w:r>
      <w:r w:rsidR="007634FB">
        <w:t xml:space="preserve"> En adelante, tendrán que visualizar al Otro como demanda y a sí mismos como Oferta. Tendrán que asumir que el tratamiento de una enfermedad es un servicio que tiene un precio específico determinado, precisamente, por las leyes de la oferta y la demanda. Asimismo, la salud deja incluso de ser considerada como gasto social y se convierte en “servicio de salud”. Como servicio puede ser convertida en mercancía y estar sometida a las implacables reglas del mercado.</w:t>
      </w:r>
    </w:p>
    <w:p w:rsidR="007634FB" w:rsidRDefault="007634FB" w:rsidP="00134DEB">
      <w:pPr>
        <w:jc w:val="both"/>
      </w:pPr>
    </w:p>
    <w:p w:rsidR="00EF771B" w:rsidRDefault="007634FB" w:rsidP="00134DEB">
      <w:pPr>
        <w:jc w:val="both"/>
      </w:pPr>
      <w:r>
        <w:t>Para aquellos que por determinadas circunstancias no podrán acceder a los servicios de salud será necesario crear mecanismos transitorios y provisionales de acceso, al menos hasta que los mecanismos de mercado puedan generar por sí mismos economías de escala para estos sectores. Es decir, médicos y personal de salud con alta calificación y de primer nivel para aquellos que puedan pagar, y médicos y personal de salud de menor nivel en conformidad con la estratificación del mercado. Con respecto a la salud pública, el Estado tendrá que asumir solamente un rol de rectoría, es decir, vigilar que los actores juegen limpio y respeten esas reglas de juego.</w:t>
      </w:r>
    </w:p>
    <w:p w:rsidR="00EF771B" w:rsidRDefault="00EF771B" w:rsidP="00134DEB">
      <w:pPr>
        <w:jc w:val="both"/>
      </w:pPr>
    </w:p>
    <w:p w:rsidR="00EF771B" w:rsidRDefault="00EF771B" w:rsidP="00134DEB">
      <w:pPr>
        <w:jc w:val="both"/>
      </w:pPr>
      <w:r>
        <w:t>Esta transformación de los hábitos, las percepciones, los comportamientos, las reglas de juego, las normas, leyes, códigos e instituciones, no podía ser hecho por el FMI, porque no tenía la capacidad institucional para hacerlo. El FMI se limitaba a definir las reglas más generales de lo que sería la privatización y reducción del Estado. Para actuar al interior del tejido social y cambiarlo de manera radical se necesitaba de otro marco institucional. Es ahí cuando entra en acción el Banco Mundial y sus proyectos sectoriales de reforma estructural.</w:t>
      </w:r>
    </w:p>
    <w:p w:rsidR="00EF771B" w:rsidRDefault="00EF771B" w:rsidP="00134DEB">
      <w:pPr>
        <w:jc w:val="both"/>
      </w:pPr>
    </w:p>
    <w:p w:rsidR="009146FC" w:rsidRDefault="00EF771B" w:rsidP="00134DEB">
      <w:pPr>
        <w:jc w:val="both"/>
      </w:pPr>
      <w:r>
        <w:t>El Banco Mundial asume la tarea de “enseñarle” a la sociedad el juego del mercado. Es desde el Banco Mundial que se crean los marcos institucionales que van a permitir la privatización de la salud y la constitución y consolidación de un mercado de la salud. La primera recomendación del Banco Mundial es destruir la institucionalidad existente, porque</w:t>
      </w:r>
      <w:r w:rsidR="009146FC">
        <w:t xml:space="preserve"> tal como está no sirve para la operación y despliegue de las lógicas mercantiles. </w:t>
      </w:r>
    </w:p>
    <w:p w:rsidR="009146FC" w:rsidRDefault="009146FC" w:rsidP="00134DEB">
      <w:pPr>
        <w:jc w:val="both"/>
      </w:pPr>
    </w:p>
    <w:p w:rsidR="007634FB" w:rsidRDefault="008837C5" w:rsidP="00134DEB">
      <w:pPr>
        <w:jc w:val="both"/>
      </w:pPr>
      <w:r>
        <w:t>En el sector salud, el Banco Mundial generará dos proyectos emblemáticos para el sector salud: el proyecto de Modernización de los servicios de salud (MODERSA), y el proyecto Fasbase que tendrá dos etapas. Ahora bien, es necesario, en consecuencia, comprender de mejor manera lo que significa la reforma estructural del Banco Mundial, porque desde ahí se puede comprender mejor la conformación de los mercados de la salud en el Ecuador.</w:t>
      </w:r>
    </w:p>
    <w:p w:rsidR="001D418E" w:rsidRPr="00134DEB" w:rsidRDefault="001D418E" w:rsidP="00134DEB">
      <w:pPr>
        <w:jc w:val="both"/>
      </w:pPr>
    </w:p>
    <w:p w:rsidR="00EC7166" w:rsidRPr="00134DEB" w:rsidRDefault="00EC7166" w:rsidP="00134DEB">
      <w:pPr>
        <w:jc w:val="both"/>
      </w:pPr>
      <w:r w:rsidRPr="00134DEB">
        <w:t xml:space="preserve">La reforma estructural del Banco Mundial hace referencia a uno de los procesos políticos más importantes en el sistema-mundo capitalista e implica una profunda reforma política del Estado adecuándolo a las necesidades de la acumulación del capital y de las nuevas derivas y necesidades de la lucha de clases. Este proceso es concomitante y correlativo al ajuste macrofiscal de corto plazo del FMI, mas sus coordenadas y perspectivas están en largo plazo. </w:t>
      </w:r>
    </w:p>
    <w:p w:rsidR="00EC7166" w:rsidRPr="00134DEB" w:rsidRDefault="00EC7166" w:rsidP="00134DEB">
      <w:pPr>
        <w:jc w:val="both"/>
      </w:pPr>
    </w:p>
    <w:p w:rsidR="00EC7166" w:rsidRPr="00134DEB" w:rsidRDefault="00EC7166" w:rsidP="00134DEB">
      <w:pPr>
        <w:jc w:val="both"/>
      </w:pPr>
      <w:r w:rsidRPr="00134DEB">
        <w:t xml:space="preserve">Uno de los argumentos teóricos que sustentan la reforma estructural proviene del neoinstitucionalismo económico y hace referencia a las nociones de “cambio institucional” como un proceso teleológico y determinista para todas las sociedades humanas. La razón del mercado se convierte, en esta dimensión institucionalista, en un deber ser de toda la historia humana. Las transformaciones producidas desde la visión institucional son, en consecuencia, transformaciones históricas. </w:t>
      </w:r>
    </w:p>
    <w:p w:rsidR="00EC7166" w:rsidRPr="00134DEB" w:rsidRDefault="00EC7166" w:rsidP="00134DEB">
      <w:pPr>
        <w:jc w:val="both"/>
      </w:pPr>
    </w:p>
    <w:p w:rsidR="00EC7166" w:rsidRPr="00134DEB" w:rsidRDefault="00EC7166" w:rsidP="00134DEB">
      <w:pPr>
        <w:jc w:val="both"/>
      </w:pPr>
      <w:r w:rsidRPr="00134DEB">
        <w:t>El “cambio institucional” es un cambio civilizatorio. El cambio institucional implica que para el Banco Mundial esta no es una época de cambios sino un cambio de época. La época que está escribiendo el Banco Mundial tiene la signatura del mercado como deontología de la historia y como parusía del capital.</w:t>
      </w:r>
    </w:p>
    <w:p w:rsidR="00EC7166" w:rsidRPr="00134DEB" w:rsidRDefault="00EC7166" w:rsidP="00134DEB">
      <w:pPr>
        <w:jc w:val="both"/>
      </w:pPr>
    </w:p>
    <w:p w:rsidR="00EC7166" w:rsidRPr="00134DEB" w:rsidRDefault="00EC7166" w:rsidP="00134DEB">
      <w:pPr>
        <w:jc w:val="both"/>
      </w:pPr>
      <w:r w:rsidRPr="00134DEB">
        <w:t xml:space="preserve">De esta manera, mientras el FMI se concentraba en definir la hoja de ruta de la acumulación capitalista a través de cambios en la macroeconomía, el Banco Mundial creaba el entramado institucional que le era correlativo. Los cambios macroeconómicos del ajuste estructural del FMI solamente podían tener sentido en el largo plazo si estaban acompañados de transformaciones profundas en el tejido institucional. Empero, estas transformaciones institucionales implicaban una intervención directa sobre el plexo social. Al mismo tiempo que se intervenía en los marcos institucionales el Banco Mundial también intervenía en las sociedades disciplinándolas al interior de las coordenadas del neoliberalismo. </w:t>
      </w:r>
    </w:p>
    <w:p w:rsidR="00EC7166" w:rsidRPr="00134DEB" w:rsidRDefault="00EC7166" w:rsidP="00134DEB">
      <w:pPr>
        <w:jc w:val="both"/>
      </w:pPr>
    </w:p>
    <w:p w:rsidR="00EC7166" w:rsidRPr="00134DEB" w:rsidRDefault="00EC7166" w:rsidP="00134DEB">
      <w:pPr>
        <w:jc w:val="both"/>
      </w:pPr>
      <w:r w:rsidRPr="00134DEB">
        <w:t>Este proceso de intervención sobre los marcos institucionales y sobre las sociedades de forma directa desde el Banco Mundial, ha sido denominado como “reforma estructural” y es coherente y concomitante con el ajuste estructural del FMI.</w:t>
      </w:r>
    </w:p>
    <w:p w:rsidR="00EC7166" w:rsidRPr="00134DEB" w:rsidRDefault="00EC7166" w:rsidP="00134DEB">
      <w:pPr>
        <w:jc w:val="both"/>
      </w:pPr>
    </w:p>
    <w:p w:rsidR="00EC7166" w:rsidRPr="00134DEB" w:rsidRDefault="00EC7166" w:rsidP="00134DEB">
      <w:pPr>
        <w:jc w:val="both"/>
      </w:pPr>
      <w:r w:rsidRPr="00134DEB">
        <w:t xml:space="preserve">La reforma estructural propone una serie de cambios al interior de la institucionalidad del Estado y de los comportamientos sociales. La reforma estructural toma como sustento epistemológico a la teoría de las elecciones racionales de los consumidores, los costos de transacción, la teoría del principal-agente, la noción de la acción colectiva, la economía de la información, los derechos de propiedad, y la teoría de las instituciones económicas de la economía neoclásica. Su intencionalidad apunta a una reconfiguración política y de largo aliento de las prácticas de la política, la conformación de la dominación por consenso (hegemonía), y la articulación de la institucionalidad y del sentido de lo público, al interior de las transformaciones históricas producidas por el neoliberalismo en la hora del capitalismo tardío y de especulación financiera. </w:t>
      </w:r>
    </w:p>
    <w:p w:rsidR="00EC7166" w:rsidRPr="00134DEB" w:rsidRDefault="00EC7166" w:rsidP="00134DEB">
      <w:pPr>
        <w:jc w:val="both"/>
      </w:pPr>
    </w:p>
    <w:p w:rsidR="00EC7166" w:rsidRPr="00134DEB" w:rsidRDefault="00EC7166" w:rsidP="00134DEB">
      <w:pPr>
        <w:jc w:val="both"/>
      </w:pPr>
      <w:r w:rsidRPr="00134DEB">
        <w:t>E</w:t>
      </w:r>
      <w:r w:rsidR="008837C5">
        <w:t>s necesario comprender que estas reformas fueron implementadas e</w:t>
      </w:r>
      <w:r w:rsidRPr="00134DEB">
        <w:t>n</w:t>
      </w:r>
      <w:r w:rsidR="008837C5">
        <w:t xml:space="preserve"> toda</w:t>
      </w:r>
      <w:r w:rsidRPr="00134DEB">
        <w:t xml:space="preserve"> América Latina </w:t>
      </w:r>
      <w:r w:rsidR="008837C5">
        <w:t>y</w:t>
      </w:r>
      <w:r w:rsidRPr="00134DEB">
        <w:t xml:space="preserve"> fueron producidas desde el Banco Mundial y el Banco Interamericano de Desarrollo (BID), la agencia americana para la cooperación USAID, y el Departamento del Tesoro de EEUU, y se dieron desde el inicio de los programas de ajuste estructural. </w:t>
      </w:r>
    </w:p>
    <w:p w:rsidR="00EC7166" w:rsidRPr="00134DEB" w:rsidRDefault="00EC7166" w:rsidP="00134DEB">
      <w:pPr>
        <w:jc w:val="both"/>
      </w:pPr>
    </w:p>
    <w:p w:rsidR="00EC7166" w:rsidRPr="00134DEB" w:rsidRDefault="00EC7166" w:rsidP="00134DEB">
      <w:pPr>
        <w:jc w:val="both"/>
      </w:pPr>
      <w:r w:rsidRPr="00134DEB">
        <w:t>En efecto, fue el Secretario del Tesoro de EEUU, James Baker, quien en 1984 en la Conferencia del Banco Mundial y del FMI en Seúl, Corea del Sur, determinaría el rol a cumplir por el Banco Mundial en la estrategia del ajuste macroeconómico, en la renegociación de la deuda externa, y en el financiamiento al desarrollo de los países de la periferia del sistema-mundo, como tareas conjuntas y directamente definidas desde Washington.</w:t>
      </w:r>
    </w:p>
    <w:p w:rsidR="00EC7166" w:rsidRPr="00134DEB" w:rsidRDefault="00EC7166" w:rsidP="00134DEB">
      <w:pPr>
        <w:jc w:val="both"/>
      </w:pPr>
    </w:p>
    <w:p w:rsidR="00EC7166" w:rsidRPr="00134DEB" w:rsidRDefault="00EC7166" w:rsidP="00134DEB">
      <w:pPr>
        <w:jc w:val="both"/>
      </w:pPr>
      <w:r w:rsidRPr="00134DEB">
        <w:t xml:space="preserve">El Banco Mundial, como institución especializada en el desarrollo económico y en su financiamiento, cobra una importancia fundamental en la transformación neoliberal. Su rol, en primera instancia, es el de acompañar al FMI en una estrategia que habría de denominarse como “condicionalidad cruzada”. </w:t>
      </w:r>
    </w:p>
    <w:p w:rsidR="00EC7166" w:rsidRPr="00134DEB" w:rsidRDefault="00EC7166" w:rsidP="00134DEB">
      <w:pPr>
        <w:jc w:val="both"/>
      </w:pPr>
    </w:p>
    <w:p w:rsidR="00EC7166" w:rsidRPr="00134DEB" w:rsidRDefault="00EC7166" w:rsidP="00134DEB">
      <w:pPr>
        <w:jc w:val="both"/>
      </w:pPr>
      <w:r w:rsidRPr="00134DEB">
        <w:t xml:space="preserve">Empero, la caída del socialismo y las transformaciones económicas en los países denominados como socialistas, proyectaron al Banco Mundial, y al FMI, en una tarea de reconstrucción histórica que rebasó los ámbitos para los que fue inicialmente concebido, y que tuvo como objetivo fundamental poner en sintonía de las necesidades de los centros de poder del sistema-mundo a todos los países de la periferia, incluidos aquellos países que pertenecieron al ámbito socialista. </w:t>
      </w:r>
    </w:p>
    <w:p w:rsidR="00EC7166" w:rsidRPr="00134DEB" w:rsidRDefault="00EC7166" w:rsidP="00134DEB">
      <w:pPr>
        <w:jc w:val="both"/>
      </w:pPr>
    </w:p>
    <w:p w:rsidR="00EC7166" w:rsidRPr="00134DEB" w:rsidRDefault="00EC7166" w:rsidP="00134DEB">
      <w:pPr>
        <w:jc w:val="both"/>
      </w:pPr>
      <w:r w:rsidRPr="00134DEB">
        <w:t>Esa necesidad de asumir un rol histórico está presente en el denominado “Consenso de Washington”. En esta coyuntura, el Banco Mundial adquirió un estatuto político de primera línea en la reconstitución del neoliberalismo, como proyecto político e histórico a escala mundial.</w:t>
      </w:r>
    </w:p>
    <w:p w:rsidR="00EC7166" w:rsidRPr="00134DEB" w:rsidRDefault="00EC7166" w:rsidP="00134DEB">
      <w:pPr>
        <w:jc w:val="both"/>
      </w:pPr>
    </w:p>
    <w:p w:rsidR="00EC7166" w:rsidRPr="00134DEB" w:rsidRDefault="00EC7166" w:rsidP="00134DEB">
      <w:pPr>
        <w:jc w:val="both"/>
        <w:rPr>
          <w:b/>
        </w:rPr>
      </w:pPr>
      <w:r w:rsidRPr="00134DEB">
        <w:rPr>
          <w:b/>
        </w:rPr>
        <w:t>Los discursos legitimantes del Banco Mundial</w:t>
      </w:r>
      <w:r w:rsidR="008837C5">
        <w:rPr>
          <w:b/>
        </w:rPr>
        <w:t xml:space="preserve"> en la conformación del mercado de la salud</w:t>
      </w:r>
    </w:p>
    <w:p w:rsidR="00EC7166" w:rsidRPr="00134DEB" w:rsidRDefault="00EC7166" w:rsidP="00134DEB">
      <w:pPr>
        <w:jc w:val="both"/>
      </w:pPr>
    </w:p>
    <w:p w:rsidR="00EC7166" w:rsidRPr="00134DEB" w:rsidRDefault="00EC7166" w:rsidP="00134DEB">
      <w:pPr>
        <w:jc w:val="both"/>
      </w:pPr>
      <w:r w:rsidRPr="00134DEB">
        <w:t xml:space="preserve">De todos los discursos de poder que se generarán para legitimar sus posiciones y sus prescripciones, aquel dispositivo ideológico-político del Banco Mundial que le servirá como mascarón de proa para legitimarse políticamente, será aquel de la </w:t>
      </w:r>
      <w:r w:rsidRPr="00134DEB">
        <w:rPr>
          <w:i/>
        </w:rPr>
        <w:t>reducción de la pobreza</w:t>
      </w:r>
      <w:r w:rsidRPr="00134DEB">
        <w:t xml:space="preserve">, (también </w:t>
      </w:r>
      <w:r w:rsidRPr="00134DEB">
        <w:rPr>
          <w:i/>
        </w:rPr>
        <w:t>alivio de la pobreza</w:t>
      </w:r>
      <w:r w:rsidRPr="00134DEB">
        <w:t xml:space="preserve">) entendida la pobreza como un fenómeno estrictamente económico y relacionado a la capacidad de consumo monetario (el famoso dólar-día del Banco Mundial). </w:t>
      </w:r>
    </w:p>
    <w:p w:rsidR="00EC7166" w:rsidRPr="00134DEB" w:rsidRDefault="00EC7166" w:rsidP="00134DEB">
      <w:pPr>
        <w:jc w:val="both"/>
      </w:pPr>
    </w:p>
    <w:p w:rsidR="00EC7166" w:rsidRPr="00134DEB" w:rsidRDefault="00EC7166" w:rsidP="00134DEB">
      <w:pPr>
        <w:jc w:val="both"/>
      </w:pPr>
      <w:r w:rsidRPr="00134DEB">
        <w:t xml:space="preserve">El dólar-día como baremo para medir la pobreza disputó los sentidos y las interpretaciones con otras formas más críticas de comprender, medir y analizar a la pobreza, en las cuales se comprendía a ésta al interior de un entramado de relaciones de poder y explotación, y como efecto directo y necesario de la acumulación capitalista. Se trató de una disputa aparentemente metodológica, pero que, en realidad, mostraba una confrontación política y epistémica en la que el Banco Mundial arrebató a la política y a la sociología crítica, la interpretación de la pobreza, y la convirtió en un dispositivo teórico-político con una finalidad ideológica concreta: aquella de legitimar su intervención neocolonial y en la cual sus coordenadas que la determinan y la conceptualizan, solamente pueden comprenderse desde la economía y los mercados, vale decir, el neoliberalismo. </w:t>
      </w:r>
    </w:p>
    <w:p w:rsidR="00EC7166" w:rsidRPr="00134DEB" w:rsidRDefault="00EC7166" w:rsidP="00134DEB">
      <w:pPr>
        <w:jc w:val="both"/>
      </w:pPr>
    </w:p>
    <w:p w:rsidR="00EC7166" w:rsidRPr="00134DEB" w:rsidRDefault="00EC7166" w:rsidP="00134DEB">
      <w:pPr>
        <w:jc w:val="both"/>
      </w:pPr>
      <w:r w:rsidRPr="00134DEB">
        <w:t xml:space="preserve">Como fenómeno económico relacionado con la capacidad de consumo, para el Banco Mundial, la pobreza se convierte en una dimensión de la noción de crecimiento económico, cuyos ejes rectores están en el sector privado y en la lógica de los mercados autorregulados. </w:t>
      </w:r>
    </w:p>
    <w:p w:rsidR="00EC7166" w:rsidRPr="00134DEB" w:rsidRDefault="00EC7166" w:rsidP="00134DEB">
      <w:pPr>
        <w:jc w:val="both"/>
      </w:pPr>
    </w:p>
    <w:p w:rsidR="00EC7166" w:rsidRPr="00134DEB" w:rsidRDefault="00EC7166" w:rsidP="00134DEB">
      <w:pPr>
        <w:jc w:val="both"/>
      </w:pPr>
      <w:r w:rsidRPr="00134DEB">
        <w:t xml:space="preserve">Para reducir la pobreza el único camino que el Banco Mundial considera como plausible es aquel del crecimiento económico, precisamente, por la vía de estos mercados autorregulados. Si bien la vinculación pobreza-crecimiento económico es arbitraria y entra en absoluta contradicción con su marco epistemológico de la teoría institucional, más ilegítima aún es aquella relación que hace el Banco Mundial entre pobreza y austeridad fiscal; empero, gracias a esos vínculos analíticos el Banco Mundial pudo convertir a la reforma estructural en un proyecto histórico, y pudo reclamar para sí un </w:t>
      </w:r>
      <w:r w:rsidRPr="00134DEB">
        <w:rPr>
          <w:i/>
        </w:rPr>
        <w:t>ethos</w:t>
      </w:r>
      <w:r w:rsidRPr="00134DEB">
        <w:t xml:space="preserve"> que le blindaba de todo cuestionamiento político. </w:t>
      </w:r>
    </w:p>
    <w:p w:rsidR="00EC7166" w:rsidRPr="00134DEB" w:rsidRDefault="00EC7166" w:rsidP="00134DEB">
      <w:pPr>
        <w:jc w:val="both"/>
      </w:pPr>
    </w:p>
    <w:p w:rsidR="00EC7166" w:rsidRPr="00134DEB" w:rsidRDefault="00EC7166" w:rsidP="00134DEB">
      <w:pPr>
        <w:jc w:val="both"/>
      </w:pPr>
      <w:r w:rsidRPr="00134DEB">
        <w:t xml:space="preserve">En efecto, sin haber demostrado jamás, en términos epistémicos se entiende, que el crecimiento económico tenga algo que ver con la pobreza, el Banco Mundial asume de por sí el hecho de que a más crecimiento económico mayor alivio de la pobreza. El Banco Mundial olvida el hecho de que al interior de la misma episteme neoclásica se ha creado el concepto del “crecimiento empobrecedor”, en donde a más crecimiento económico generalmente se produce más pobreza. No hay una relación biunívoca entre pobreza y crecimiento económico, pero en realidad, para el Banco Mundial eso no es importante. Lo trascendente es que la intervención política del Banco Mundial se legitime ex ante, justamente, por provenir del </w:t>
      </w:r>
      <w:r w:rsidRPr="00134DEB">
        <w:rPr>
          <w:i/>
        </w:rPr>
        <w:t>ethos</w:t>
      </w:r>
      <w:r w:rsidRPr="00134DEB">
        <w:t xml:space="preserve"> de actuar en beneficio de los más pobres.</w:t>
      </w:r>
    </w:p>
    <w:p w:rsidR="00EC7166" w:rsidRPr="00134DEB" w:rsidRDefault="00EC7166" w:rsidP="00134DEB">
      <w:pPr>
        <w:jc w:val="both"/>
      </w:pPr>
    </w:p>
    <w:p w:rsidR="00EC7166" w:rsidRPr="00134DEB" w:rsidRDefault="00EC7166" w:rsidP="00134DEB">
      <w:pPr>
        <w:jc w:val="both"/>
      </w:pPr>
      <w:r w:rsidRPr="00134DEB">
        <w:t xml:space="preserve">Gracias a su discurso de reducción de la pobreza, el Banco Mundial se cree más allá del bien y del mal. Su propuesta y agencia para reducir la pobreza adquiría visos de cuasi santidad y de cruzada. </w:t>
      </w:r>
    </w:p>
    <w:p w:rsidR="00EC7166" w:rsidRPr="00134DEB" w:rsidRDefault="00EC7166" w:rsidP="00134DEB">
      <w:pPr>
        <w:jc w:val="both"/>
      </w:pPr>
    </w:p>
    <w:p w:rsidR="00EC7166" w:rsidRPr="00134DEB" w:rsidRDefault="00EC7166" w:rsidP="00134DEB">
      <w:pPr>
        <w:jc w:val="both"/>
      </w:pPr>
      <w:r w:rsidRPr="00134DEB">
        <w:t xml:space="preserve">Pero era una cruzada a favor de los mercados, las corporaciones y el capital financiero mundial. En efecto, si la pobreza solamente puede ser reducida desde el crecimiento económico, entonces para lograr condiciones óptimas para el crecimiento es fundamental, según el Banco Mundial, garantizar la estabilidad macroeconómica, la misma que solo puede obtenerse por la vía de la disciplina fiscal, la austeridad del gasto público, la privatización y la desregulación de los Estados, además de la seguridad jurídica necesaria para los actores económicos fundamentales, es decir, las corporaciones y el capital financiero transnacional. </w:t>
      </w:r>
    </w:p>
    <w:p w:rsidR="00EC7166" w:rsidRPr="00134DEB" w:rsidRDefault="00EC7166" w:rsidP="00134DEB">
      <w:pPr>
        <w:jc w:val="both"/>
      </w:pPr>
    </w:p>
    <w:p w:rsidR="00EC7166" w:rsidRPr="00134DEB" w:rsidRDefault="008837C5" w:rsidP="00134DEB">
      <w:pPr>
        <w:jc w:val="both"/>
      </w:pPr>
      <w:r>
        <w:t>Pero hay que decirlo que para el Banco Mundial n</w:t>
      </w:r>
      <w:r w:rsidR="00EC7166" w:rsidRPr="00134DEB">
        <w:t>unca se trató de aliviar ni mitigar la pobreza, se trató, en realidad, de ejercer el poder en condiciones de hegemonía que permitan cerrar la historia a las propuestas alternativas y emancipatorias. Al convertir las contradicciones sociales de la acumulación del capital en un fenómeno de pobreza monetaria, el Banco Mundial había logrado despolitizar a las sociedades y a los trabajadores. Gracias al discurso de la pobreza del Banco Mundial, los explotados se convierten en pobres, la lucha política se convierte en lucha de sobrevivencia, y los mercados se asumen como la parusía del capital.</w:t>
      </w:r>
    </w:p>
    <w:p w:rsidR="00EC7166" w:rsidRPr="00134DEB" w:rsidRDefault="00EC7166" w:rsidP="00134DEB">
      <w:pPr>
        <w:jc w:val="both"/>
      </w:pPr>
    </w:p>
    <w:p w:rsidR="008837C5" w:rsidRDefault="00EC7166" w:rsidP="00134DEB">
      <w:pPr>
        <w:jc w:val="both"/>
      </w:pPr>
      <w:r w:rsidRPr="00134DEB">
        <w:t>Al interior de estas coordenadas teóricas, la estrategia de reducción de la pobreza se convertirá en el centro gravitatorio sobre el cual girará la cooperación internacional al desarrollo, que comprenderá incluso al sistema de Naciones Unidas, y a las políticas públicas de los Estados. Los pobres eran la coartada que el discurso del poder necesitaba para construir el Estado mínimo y abrir el espacio para la convergencia normativa de la gobernanza mundial corporativa.</w:t>
      </w:r>
    </w:p>
    <w:p w:rsidR="008837C5" w:rsidRDefault="008837C5" w:rsidP="00134DEB">
      <w:pPr>
        <w:jc w:val="both"/>
      </w:pPr>
    </w:p>
    <w:p w:rsidR="008837C5" w:rsidRDefault="008837C5" w:rsidP="00134DEB">
      <w:pPr>
        <w:jc w:val="both"/>
      </w:pPr>
      <w:r>
        <w:t>La cooperación al desarrollo se cubre, por decirlo así, en el discurso y la praxis de la lucha contra la pobreza. Como los pobres no tienen ingresos monetarios están excluidos de los mercados, y en virtud de que la salud se ha convertido en un servicio, es decir, en una mercancía, el hecho de que un vasto conjunto de seres humanos estén fuera del servicio de la salud daba motivos a los críticos del Banco Mundial y del neoliberalismo. Para cerrar esta brecha, el Banco Mundial propuso estrategias de focalización y subsidio provisional de acceso al mercado de la salud bajo la forma de aseguramiento universal.</w:t>
      </w:r>
    </w:p>
    <w:p w:rsidR="008837C5" w:rsidRDefault="008837C5" w:rsidP="00134DEB">
      <w:pPr>
        <w:jc w:val="both"/>
      </w:pPr>
    </w:p>
    <w:p w:rsidR="008837C5" w:rsidRDefault="008837C5" w:rsidP="00134DEB">
      <w:pPr>
        <w:jc w:val="both"/>
      </w:pPr>
      <w:r>
        <w:t>No se trataba de ningún modo de los tradicionales esquemas de seguridad social y, menos aún, de gasto fiscal del Estado dedicado a la atención a los más pobres. Se trataba, en realidad, de compensar los desequilibrios del mercado de la salud, creando una demanda artificial y sosteniendo con recursos del endeudamiento público y de la cooperación al desarrollo esta demanda en servicios de salud.</w:t>
      </w:r>
    </w:p>
    <w:p w:rsidR="008837C5" w:rsidRDefault="008837C5" w:rsidP="00134DEB">
      <w:pPr>
        <w:jc w:val="both"/>
      </w:pPr>
    </w:p>
    <w:p w:rsidR="005C71DB" w:rsidRDefault="008837C5" w:rsidP="00134DEB">
      <w:pPr>
        <w:jc w:val="both"/>
      </w:pPr>
      <w:r>
        <w:t>Empero, había que delimitar el alcance de esta demanda artificial. Esta delimitación se hizo separando al interior del sistema nacional de salud entre operadores privados y operadores públicos. Los recursos y fondos del aseguramiento universal no irían a los operadores públicos del sistema de salud sino a los operadores privados. No solo eso, sino que también se delimitó lo que se entiende por “salud”. El aseguramiento universal generaría mecanismos de mercado</w:t>
      </w:r>
      <w:r w:rsidR="005C71DB">
        <w:t xml:space="preserve"> subsidiado solamente para la atención primaria en salud. Para aquellas dolencias que estaban fuera del marco de la atención primaria estaban las clínicas y hospitales privados.</w:t>
      </w:r>
    </w:p>
    <w:p w:rsidR="005C71DB" w:rsidRDefault="005C71DB" w:rsidP="00134DEB">
      <w:pPr>
        <w:jc w:val="both"/>
      </w:pPr>
    </w:p>
    <w:p w:rsidR="00EC7166" w:rsidRPr="00134DEB" w:rsidRDefault="005C71DB" w:rsidP="00134DEB">
      <w:pPr>
        <w:jc w:val="both"/>
      </w:pPr>
      <w:r>
        <w:t>De esta manera, el discurso y la práctica de la pobreza fueron estratégicos porque permitieron expandir y consolidar las lógicas del mercado en el sector salud.</w:t>
      </w:r>
    </w:p>
    <w:p w:rsidR="00EC7166" w:rsidRPr="00134DEB" w:rsidRDefault="00EC7166" w:rsidP="00134DEB">
      <w:pPr>
        <w:jc w:val="both"/>
      </w:pPr>
    </w:p>
    <w:p w:rsidR="00EC7166" w:rsidRPr="00134DEB" w:rsidRDefault="00EC7166" w:rsidP="00134DEB">
      <w:pPr>
        <w:tabs>
          <w:tab w:val="left" w:pos="1635"/>
        </w:tabs>
        <w:jc w:val="both"/>
        <w:rPr>
          <w:b/>
        </w:rPr>
      </w:pPr>
      <w:r w:rsidRPr="00134DEB">
        <w:rPr>
          <w:b/>
        </w:rPr>
        <w:t>El Banco Mundial y el neoinstitucionalismo económico</w:t>
      </w:r>
    </w:p>
    <w:p w:rsidR="00EC7166" w:rsidRPr="00134DEB" w:rsidRDefault="00EC7166" w:rsidP="00134DEB">
      <w:pPr>
        <w:tabs>
          <w:tab w:val="left" w:pos="1635"/>
        </w:tabs>
        <w:jc w:val="both"/>
      </w:pPr>
    </w:p>
    <w:p w:rsidR="00EC7166" w:rsidRPr="00134DEB" w:rsidRDefault="003047E1" w:rsidP="00134DEB">
      <w:pPr>
        <w:tabs>
          <w:tab w:val="left" w:pos="1635"/>
        </w:tabs>
        <w:jc w:val="both"/>
        <w:rPr>
          <w:color w:val="FF6600"/>
        </w:rPr>
      </w:pPr>
      <w:r>
        <w:t>La</w:t>
      </w:r>
      <w:r w:rsidR="00EC7166" w:rsidRPr="00134DEB">
        <w:t xml:space="preserve"> teoría del cambio institucional </w:t>
      </w:r>
      <w:r>
        <w:t xml:space="preserve">que utiliza el Banco Mundial para sus proyectos de reforma estructural, </w:t>
      </w:r>
      <w:r w:rsidR="00EC7166" w:rsidRPr="00134DEB">
        <w:t>propone un marco epistemológico más amplio y de mayor alcance que aquellos del FMI y de la tradicional escuela económica neoliberal. Esta teoría se propone explicar el comportamiento humano, social e histórico inscrito en las coordenadas del mercado y de la acción racional de agentes económicos. Es Gary Becker, justamente, quien propone la consideración de que el comportamiento humano debe ser comprendido de la misma manera y bajo la misma lógica del costo-beneficio, de cualquier acción o actividad económica, es decir, como un “capita</w:t>
      </w:r>
      <w:r w:rsidR="001545ED" w:rsidRPr="00134DEB">
        <w:t>l</w:t>
      </w:r>
      <w:r w:rsidR="00EC7166" w:rsidRPr="00134DEB">
        <w:t>.</w:t>
      </w:r>
      <w:r w:rsidR="001545ED" w:rsidRPr="00134DEB">
        <w:t>”</w:t>
      </w:r>
    </w:p>
    <w:p w:rsidR="00EC7166" w:rsidRPr="00134DEB" w:rsidRDefault="00EC7166" w:rsidP="00134DEB">
      <w:pPr>
        <w:tabs>
          <w:tab w:val="left" w:pos="1635"/>
        </w:tabs>
        <w:jc w:val="both"/>
      </w:pPr>
    </w:p>
    <w:p w:rsidR="00EC7166" w:rsidRPr="00134DEB" w:rsidRDefault="00EC7166" w:rsidP="00134DEB">
      <w:pPr>
        <w:tabs>
          <w:tab w:val="left" w:pos="1635"/>
        </w:tabs>
        <w:jc w:val="both"/>
      </w:pPr>
      <w:r w:rsidRPr="00134DEB">
        <w:t>Nace ahí la denominación de “capital humano”, como una deriva conductual del comportamiento humano</w:t>
      </w:r>
      <w:r w:rsidRPr="00134DEB">
        <w:rPr>
          <w:rStyle w:val="Refdenotaalpie"/>
        </w:rPr>
        <w:footnoteReference w:id="7"/>
      </w:r>
      <w:r w:rsidRPr="00134DEB">
        <w:t>. De la misma forma que el comportamiento humano puede ser adscrito a la lógica costo-beneficio de los mercados, el comportamiento social puede ser comprendido al interior de esta</w:t>
      </w:r>
      <w:r w:rsidR="003047E1">
        <w:t>s coordenadas mercantiles. Es Robert</w:t>
      </w:r>
      <w:r w:rsidRPr="00134DEB">
        <w:t xml:space="preserve"> Putman quien, siguiendo la línea analítica de Becker, va a desarrollar y proponer el concepto de “capital social” para comprender las complejas interacciones sociales como comportamientos agregados de individuos que buscan maximizar sus preferencias en un contexto de escasez. De su parte, Constanza, entre otros, van a desarrollar el concepto de “capital natural” para dar un marco teórico a la propuesta de pagos por servicios ambientales y de privatización y mercantilización de la naturaleza. </w:t>
      </w:r>
    </w:p>
    <w:p w:rsidR="00EC7166" w:rsidRPr="00134DEB" w:rsidRDefault="00EC7166" w:rsidP="00134DEB">
      <w:pPr>
        <w:tabs>
          <w:tab w:val="left" w:pos="1635"/>
        </w:tabs>
        <w:jc w:val="both"/>
      </w:pPr>
    </w:p>
    <w:p w:rsidR="00EC7166" w:rsidRPr="00134DEB" w:rsidRDefault="00EC7166" w:rsidP="00134DEB">
      <w:pPr>
        <w:tabs>
          <w:tab w:val="left" w:pos="1635"/>
        </w:tabs>
        <w:jc w:val="both"/>
      </w:pPr>
      <w:r w:rsidRPr="00134DEB">
        <w:t xml:space="preserve">Aparentemente se trataría de un ejercicio de teoría económica y sociológica, pero en las coordenadas de intervención del Banco Mundial y del complejo institucional de la reforma estructural, estos conceptos se convirtieron en la estrategia de legitimación de su colonialismo, violencia, dominación y control. </w:t>
      </w:r>
    </w:p>
    <w:p w:rsidR="00EC7166" w:rsidRPr="00134DEB" w:rsidRDefault="00EC7166" w:rsidP="00134DEB">
      <w:pPr>
        <w:tabs>
          <w:tab w:val="left" w:pos="1635"/>
        </w:tabs>
        <w:jc w:val="both"/>
      </w:pPr>
    </w:p>
    <w:p w:rsidR="00EC7166" w:rsidRPr="00134DEB" w:rsidRDefault="00EC7166" w:rsidP="00134DEB">
      <w:pPr>
        <w:tabs>
          <w:tab w:val="left" w:pos="1635"/>
        </w:tabs>
        <w:jc w:val="both"/>
      </w:pPr>
      <w:r w:rsidRPr="00134DEB">
        <w:t xml:space="preserve">Empero, todas estas estrategias estuvieron proyectadas en la dirección de reconstruir al Estado desde la visión del Banco Mundial. Esta reconstrucción tuvo una idea aglutinadora y en la cual cabían todas las estrategias de capital humano, capital social, capital natural, esa idea estuvo (y está) en la descentralización del Estado, no como un proceso de procedimientos y de administración de los recursos estatales, sino como parte de una reforma política del Estado, en el que descentralizar al Estado significaba, paradójicamente, tanto privatizarlo cuanto democratizarlo en las coordenadas del mercado. </w:t>
      </w:r>
    </w:p>
    <w:p w:rsidR="003047E1" w:rsidRDefault="003047E1" w:rsidP="00134DEB">
      <w:pPr>
        <w:tabs>
          <w:tab w:val="left" w:pos="1635"/>
        </w:tabs>
        <w:jc w:val="both"/>
      </w:pPr>
    </w:p>
    <w:p w:rsidR="003047E1" w:rsidRDefault="003047E1" w:rsidP="00134DEB">
      <w:pPr>
        <w:tabs>
          <w:tab w:val="left" w:pos="1635"/>
        </w:tabs>
        <w:jc w:val="both"/>
      </w:pPr>
      <w:r>
        <w:t>El mercado de la salud consideraba, en consecuencia, a los médicos como “capital humano”, a las instituciones vinculadas a la salud como “capital social”, a la sociedad como “demanda de servicios de salud”, al tratamiento de la enfermedad como “servicio de salud”, a los pacientes como “usuarios del sistema”.</w:t>
      </w:r>
    </w:p>
    <w:p w:rsidR="00EC7166" w:rsidRPr="00134DEB" w:rsidRDefault="00EC7166" w:rsidP="00134DEB">
      <w:pPr>
        <w:tabs>
          <w:tab w:val="left" w:pos="1635"/>
        </w:tabs>
        <w:jc w:val="both"/>
      </w:pPr>
    </w:p>
    <w:p w:rsidR="00EC7166" w:rsidRPr="00134DEB" w:rsidRDefault="00EC7166" w:rsidP="00134DEB">
      <w:pPr>
        <w:tabs>
          <w:tab w:val="left" w:pos="1635"/>
        </w:tabs>
        <w:jc w:val="both"/>
        <w:rPr>
          <w:b/>
        </w:rPr>
      </w:pPr>
      <w:r w:rsidRPr="00134DEB">
        <w:rPr>
          <w:b/>
        </w:rPr>
        <w:t>Las dimensiones de la reforma estructural</w:t>
      </w:r>
      <w:r w:rsidR="003047E1">
        <w:rPr>
          <w:b/>
        </w:rPr>
        <w:t xml:space="preserve"> en el sector salud</w:t>
      </w:r>
    </w:p>
    <w:p w:rsidR="00EC7166" w:rsidRPr="00134DEB" w:rsidRDefault="00EC7166" w:rsidP="00134DEB">
      <w:pPr>
        <w:tabs>
          <w:tab w:val="left" w:pos="1635"/>
        </w:tabs>
        <w:jc w:val="both"/>
      </w:pPr>
    </w:p>
    <w:p w:rsidR="003047E1" w:rsidRDefault="00EC7166" w:rsidP="00134DEB">
      <w:pPr>
        <w:jc w:val="both"/>
      </w:pPr>
      <w:r w:rsidRPr="00134DEB">
        <w:t>Ahora bien, la reforma estructural del Banco Mundial tiene, al menos, cinco dimensiones básicas</w:t>
      </w:r>
      <w:r w:rsidR="003047E1">
        <w:t xml:space="preserve"> que pueden ser identificadas en el sector salud</w:t>
      </w:r>
      <w:r w:rsidRPr="00134DEB">
        <w:t xml:space="preserve">: </w:t>
      </w:r>
    </w:p>
    <w:p w:rsidR="003047E1" w:rsidRDefault="003047E1" w:rsidP="00134DEB">
      <w:pPr>
        <w:jc w:val="both"/>
      </w:pPr>
    </w:p>
    <w:p w:rsidR="003047E1" w:rsidRDefault="00EC7166" w:rsidP="00134DEB">
      <w:pPr>
        <w:jc w:val="both"/>
      </w:pPr>
      <w:r w:rsidRPr="00134DEB">
        <w:t xml:space="preserve">i) la privatización; </w:t>
      </w:r>
    </w:p>
    <w:p w:rsidR="003047E1" w:rsidRDefault="00EC7166" w:rsidP="00134DEB">
      <w:pPr>
        <w:jc w:val="both"/>
      </w:pPr>
      <w:r w:rsidRPr="00134DEB">
        <w:t xml:space="preserve">ii) la desregulación; </w:t>
      </w:r>
    </w:p>
    <w:p w:rsidR="003047E1" w:rsidRDefault="00EC7166" w:rsidP="00134DEB">
      <w:pPr>
        <w:jc w:val="both"/>
      </w:pPr>
      <w:r w:rsidRPr="00134DEB">
        <w:t xml:space="preserve">iii) el aperturismo; </w:t>
      </w:r>
    </w:p>
    <w:p w:rsidR="003047E1" w:rsidRDefault="00EC7166" w:rsidP="00134DEB">
      <w:pPr>
        <w:jc w:val="both"/>
      </w:pPr>
      <w:r w:rsidRPr="00134DEB">
        <w:t xml:space="preserve">iv) la flexibilización, y, </w:t>
      </w:r>
    </w:p>
    <w:p w:rsidR="00EC7166" w:rsidRPr="00134DEB" w:rsidRDefault="00EC7166" w:rsidP="00134DEB">
      <w:pPr>
        <w:jc w:val="both"/>
      </w:pPr>
      <w:r w:rsidRPr="00134DEB">
        <w:t xml:space="preserve">v) la descentralización. </w:t>
      </w:r>
    </w:p>
    <w:p w:rsidR="00EC7166" w:rsidRPr="00134DEB" w:rsidRDefault="00EC7166" w:rsidP="00134DEB">
      <w:pPr>
        <w:jc w:val="both"/>
      </w:pPr>
    </w:p>
    <w:p w:rsidR="00EC7166" w:rsidRPr="00134DEB" w:rsidRDefault="00EC7166" w:rsidP="00134DEB">
      <w:pPr>
        <w:jc w:val="both"/>
      </w:pPr>
      <w:r w:rsidRPr="00134DEB">
        <w:t xml:space="preserve">No se tratan de dimensiones desvinculadas una de la otra, sino de procesos concomitantes e interrelacionados en los cuales algunos de ellos son la condición de posibilidad de otros.  </w:t>
      </w:r>
    </w:p>
    <w:p w:rsidR="00EC7166" w:rsidRPr="00134DEB" w:rsidRDefault="00EC7166" w:rsidP="00134DEB">
      <w:pPr>
        <w:jc w:val="both"/>
      </w:pPr>
    </w:p>
    <w:p w:rsidR="00EC7166" w:rsidRPr="00134DEB" w:rsidRDefault="00EC7166" w:rsidP="00134DEB">
      <w:pPr>
        <w:jc w:val="both"/>
      </w:pPr>
      <w:r w:rsidRPr="00134DEB">
        <w:t xml:space="preserve">En efecto, la privatización y descentralización son parte de una misma estrategia de transferencia hacia el sector privado de </w:t>
      </w:r>
      <w:r w:rsidR="003047E1">
        <w:t>todas las actividades relacionadas con la salud</w:t>
      </w:r>
      <w:r w:rsidRPr="00134DEB">
        <w:t>. La descentralización fragmenta el sentido nacional del Estado, mientras que la privatización traslada hacia las corporaciones las decisiones fundamentales sobre la regulación económica y la asignación de recursos</w:t>
      </w:r>
      <w:r w:rsidR="003047E1">
        <w:t xml:space="preserve"> en el campo de la salud</w:t>
      </w:r>
      <w:r w:rsidRPr="00134DEB">
        <w:t xml:space="preserve">. </w:t>
      </w:r>
    </w:p>
    <w:p w:rsidR="00EC7166" w:rsidRPr="00134DEB" w:rsidRDefault="00EC7166" w:rsidP="00134DEB">
      <w:pPr>
        <w:jc w:val="both"/>
      </w:pPr>
    </w:p>
    <w:p w:rsidR="003047E1" w:rsidRDefault="00EC7166" w:rsidP="00134DEB">
      <w:pPr>
        <w:jc w:val="both"/>
      </w:pPr>
      <w:r w:rsidRPr="00134DEB">
        <w:t xml:space="preserve">La descentralización y la privatización son, por tanto, procesos concomitantes y correlativos. No puede existir descentralización sin privatización y viceversa. Ambas son momentos de una misma estrategia y apuntan hacia una misma dirección. El avance de la descentralización implica la consolidación de la privatización. </w:t>
      </w:r>
      <w:r w:rsidR="003047E1">
        <w:t>El proceso más exitoso de privatización de la salud se lo vivió en la década de los noventa con el gobierno local de Cotacachi, bajo la alcaldía del indígena Auki Tituaña. Fue transparente</w:t>
      </w:r>
    </w:p>
    <w:p w:rsidR="00EC7166" w:rsidRPr="00134DEB" w:rsidRDefault="00EC7166" w:rsidP="00134DEB">
      <w:pPr>
        <w:jc w:val="both"/>
      </w:pPr>
    </w:p>
    <w:p w:rsidR="003047E1" w:rsidRDefault="00EC7166" w:rsidP="00134DEB">
      <w:pPr>
        <w:jc w:val="both"/>
      </w:pPr>
      <w:r w:rsidRPr="00134DEB">
        <w:t>La desregulación y la flexibilización, por su parte, permiten la consolidación de las políticas de ajuste macrofiscal del FMI. Ambas implican la ruptura de solidaridades sociales en la regulación y asignación de recursos, y posibilitan la transferencia de esas capacidades de regul</w:t>
      </w:r>
      <w:r w:rsidR="003047E1">
        <w:t>ación social hacia los mercados de la salud.</w:t>
      </w:r>
    </w:p>
    <w:p w:rsidR="003047E1" w:rsidRDefault="003047E1" w:rsidP="00134DEB">
      <w:pPr>
        <w:jc w:val="both"/>
      </w:pPr>
    </w:p>
    <w:p w:rsidR="00EC7166" w:rsidRPr="00134DEB" w:rsidRDefault="00EC7166" w:rsidP="00134DEB">
      <w:pPr>
        <w:jc w:val="both"/>
      </w:pPr>
      <w:r w:rsidRPr="00134DEB">
        <w:t xml:space="preserve">Por ello, son dimensiones en el sentido más amplio posible del concepto porque a su interior existen una serie de discursos, mecanismos, momentos, instancias y tiempos que se articulan de manera coherente y estructurada con el proyecto neoliberal. Todas ellas se compenetran e imbrican al interior de un proyecto de largo plazo. Sin embargo, a más de estas dimensiones básicas, la reforma estructural necesita de condiciones de posibilidad política que le generen un mínimo de consensos sociales, porque necesita el apoyo irrestricto del sistema político y de aliados sociales claves, vale decir, necesitan convertirse en discurso hegemónico. </w:t>
      </w:r>
    </w:p>
    <w:p w:rsidR="00EC7166" w:rsidRPr="00134DEB" w:rsidRDefault="00EC7166" w:rsidP="00134DEB">
      <w:pPr>
        <w:jc w:val="both"/>
      </w:pPr>
    </w:p>
    <w:p w:rsidR="00EC7166" w:rsidRPr="00134DEB" w:rsidRDefault="00EC7166" w:rsidP="00134DEB">
      <w:pPr>
        <w:jc w:val="both"/>
      </w:pPr>
      <w:r w:rsidRPr="00134DEB">
        <w:t>La reforma estructural neoliberal</w:t>
      </w:r>
      <w:r w:rsidR="003047E1">
        <w:t xml:space="preserve"> en el sector salud no pudo</w:t>
      </w:r>
      <w:r w:rsidRPr="00134DEB">
        <w:t xml:space="preserve"> llevarse adelante sin la anuencia, complicidad y compromiso total del sistema político, porque los ámbitos de la reforma estructural están definidos desde el derecho y las leyes. Esas condiciones de posibilidad política, el Banco Mundial las genera a partir de espacios de consenso social como por ejemplo, la participación ciudadana, la lucha contra la corrupción, el desarrollo local territorial, la reducción de la pobreza, el Estado de derecho, la gobernabilidad del sistema político, etc. </w:t>
      </w:r>
      <w:r w:rsidR="003047E1">
        <w:t>Al tiempo que se privatizaba la salud se hablaba de participación social, de gobernanza de servicios, de lucha contra la corrupción, de lucha contra la pobreza.</w:t>
      </w:r>
    </w:p>
    <w:p w:rsidR="00EC7166" w:rsidRPr="00134DEB" w:rsidRDefault="00EC7166" w:rsidP="00134DEB">
      <w:pPr>
        <w:jc w:val="both"/>
      </w:pPr>
    </w:p>
    <w:p w:rsidR="00EC7166" w:rsidRPr="00134DEB" w:rsidRDefault="00EC7166" w:rsidP="00134DEB">
      <w:pPr>
        <w:jc w:val="both"/>
      </w:pPr>
      <w:r w:rsidRPr="00134DEB">
        <w:t>En estos espacios abiertos por el Banco Mundial se inmisceran una vasta red de ONG’s locales que se convierten en cajas de resonancia de los discursos y las prioridades del Banco Mundial. Entran también a este espacio las organizaciones de la cooperación internacional de desarrollo, y también las instituciones del sistema de Naciones</w:t>
      </w:r>
      <w:r w:rsidR="003047E1">
        <w:t xml:space="preserve"> Unidas como la OPS y la OMS, también se vinculan</w:t>
      </w:r>
      <w:r w:rsidRPr="00134DEB">
        <w:t xml:space="preserve"> instituciones académicas o semi-académicas. Los tecno-burócratas de esas ONG’s y de estas estructuras, luego se convertirán en operadores políticos del Estado, y sus discursos y formatos de intervención serán, precisamente, aquellos desarrollados desde la cooperación internacional del desarrollo y las ONG’s. </w:t>
      </w:r>
    </w:p>
    <w:p w:rsidR="00EC7166" w:rsidRPr="00134DEB" w:rsidRDefault="00EC7166" w:rsidP="00134DEB">
      <w:pPr>
        <w:jc w:val="both"/>
      </w:pPr>
    </w:p>
    <w:p w:rsidR="00EC7166" w:rsidRPr="00134DEB" w:rsidRDefault="00EC7166" w:rsidP="00134DEB">
      <w:pPr>
        <w:jc w:val="both"/>
        <w:rPr>
          <w:i/>
        </w:rPr>
      </w:pPr>
      <w:r w:rsidRPr="00134DEB">
        <w:t xml:space="preserve">A la praxis histórica y coherente al interior de las necesidades ideológicas y políticas del capitalismo tardío, de todo este entramado institucional, la denomino como </w:t>
      </w:r>
      <w:r w:rsidRPr="00134DEB">
        <w:rPr>
          <w:i/>
        </w:rPr>
        <w:t>complejo institucional de la reforma estructural.</w:t>
      </w:r>
    </w:p>
    <w:p w:rsidR="00EC7166" w:rsidRPr="00134DEB" w:rsidRDefault="00EC7166" w:rsidP="00134DEB">
      <w:pPr>
        <w:jc w:val="both"/>
      </w:pPr>
    </w:p>
    <w:p w:rsidR="00EC7166" w:rsidRPr="00134DEB" w:rsidRDefault="00EC7166" w:rsidP="00134DEB">
      <w:pPr>
        <w:jc w:val="both"/>
      </w:pPr>
      <w:r w:rsidRPr="00134DEB">
        <w:t xml:space="preserve">La reforma estructural del Banco Mundial devaluó el debate político y la capacidad crítica, porque adecuó a las coordenadas de la intervención social de la cooperación internacional de desarrollo las posibilidades de comprender, valorar y actuar sobre la realidad. En esas matrices de intervención social, la lucha de clases se disolvía en un análisis fortalezas-oportunidades/ debilidades-amenazas y la política tenía que entrar al interior de las metodologías del “marco lógico” despojándose de sus aristas y convirtiéndose en un formato que a la larga reducía su complejidad y su alcance hasta convertirla en un instrumento de poder. </w:t>
      </w:r>
    </w:p>
    <w:p w:rsidR="00EC7166" w:rsidRPr="00134DEB" w:rsidRDefault="00EC7166" w:rsidP="00134DEB">
      <w:pPr>
        <w:jc w:val="both"/>
      </w:pPr>
    </w:p>
    <w:p w:rsidR="00EC7166" w:rsidRPr="00134DEB" w:rsidRDefault="00EC7166" w:rsidP="00134DEB">
      <w:pPr>
        <w:jc w:val="both"/>
      </w:pPr>
      <w:r w:rsidRPr="00134DEB">
        <w:t xml:space="preserve">La banalización de la política es inherente a la reforma estructural del Banco Mundial. La generación del discurso de los </w:t>
      </w:r>
      <w:r w:rsidRPr="00134DEB">
        <w:rPr>
          <w:i/>
        </w:rPr>
        <w:t>“actores sociales”</w:t>
      </w:r>
      <w:r w:rsidRPr="00134DEB">
        <w:t xml:space="preserve">, de la </w:t>
      </w:r>
      <w:r w:rsidRPr="00134DEB">
        <w:rPr>
          <w:i/>
        </w:rPr>
        <w:t>“acción colectiva”</w:t>
      </w:r>
      <w:r w:rsidRPr="00134DEB">
        <w:t xml:space="preserve">, de la </w:t>
      </w:r>
      <w:r w:rsidRPr="00134DEB">
        <w:rPr>
          <w:i/>
        </w:rPr>
        <w:t>“gobernabilidad”</w:t>
      </w:r>
      <w:r w:rsidRPr="00134DEB">
        <w:t xml:space="preserve">, entre otras categorías, expresan esa necesidad de banalizar la política, convirtiéndola en un juego de decisiones de un votante que en realidad es un fetiche ideológico del discurso neoliberal. </w:t>
      </w:r>
    </w:p>
    <w:p w:rsidR="00EC7166" w:rsidRPr="00134DEB" w:rsidRDefault="00EC7166" w:rsidP="00134DEB"/>
    <w:p w:rsidR="00EC7166" w:rsidRPr="00134DEB" w:rsidRDefault="00EC7166" w:rsidP="00134DEB">
      <w:pPr>
        <w:jc w:val="both"/>
        <w:rPr>
          <w:b/>
        </w:rPr>
      </w:pPr>
      <w:r w:rsidRPr="00134DEB">
        <w:rPr>
          <w:b/>
        </w:rPr>
        <w:t>Las reformas del Banco Mundial: una evaluación</w:t>
      </w:r>
    </w:p>
    <w:p w:rsidR="00EC7166" w:rsidRPr="00134DEB" w:rsidRDefault="00EC7166" w:rsidP="00134DEB">
      <w:pPr>
        <w:jc w:val="both"/>
      </w:pPr>
    </w:p>
    <w:p w:rsidR="00EC7166" w:rsidRPr="00134DEB" w:rsidRDefault="00EC7166" w:rsidP="00134DEB">
      <w:pPr>
        <w:jc w:val="both"/>
      </w:pPr>
      <w:r w:rsidRPr="00134DEB">
        <w:t xml:space="preserve">Con el ajuste macrofiscal del FMI y la reforma estructural del Banco Mundial y el complejo institucional de la reforma estructural, la región empezó una vuelta de tuerca en la radicalización del proyecto neoliberal que ahora ponía énfasis en las formas de apropiación territorial, y en la emergencia de procesos históricos de violencia, extorsión, saqueo, dominación, que han sido descritos como “acumulación originaria de capital”, pero que son parte inherente al capitalismo mismo. Se trata de una forma de acumulación por desposesión sustentada en la privatización territorial. El ciclo de la reforma estructural abre la vía para el inicio de una etapa más tenebrosa, más densa y, por circunstancias históricas, más ambigua, más esquiva, más compleja en su comprensión. La reforma estructural llega a su término porque cumplió con sus tareas fundamentales, pero le toma la posta una deriva de acumulación por desposesión sustentada en la privatización de los territorios y en la criminalización de las sociedades, quizá más despiadada que las anteriores. </w:t>
      </w:r>
    </w:p>
    <w:p w:rsidR="00EC7166" w:rsidRPr="00134DEB" w:rsidRDefault="00EC7166" w:rsidP="00134DEB">
      <w:pPr>
        <w:jc w:val="both"/>
      </w:pPr>
    </w:p>
    <w:p w:rsidR="00EC7166" w:rsidRPr="003047E1" w:rsidRDefault="00EC7166" w:rsidP="00134DEB">
      <w:pPr>
        <w:jc w:val="both"/>
      </w:pPr>
      <w:r w:rsidRPr="00134DEB">
        <w:t>Los proyectos sectoriales de la reforma estructural, en el cual actuaron todas las instituciones del complejo institucional de la reforma estructural, estaban diseñados para durar un tiempo determinado que, en general, estaba entre tres y cinco años. Fueron proyectos concebidos para actuar en el mediano plazo y cuyo objetivo no era su institucionalización ulterior sino la transformación radical del sentido de la política pública</w:t>
      </w:r>
      <w:r w:rsidRPr="003047E1">
        <w:t xml:space="preserve">. Una vez cumplido su periodo y sus objetivos se extinguían sin generar memoria institucional, al extremo de que los documentos que respalden su accionar, que evidencien sus decisiones, sus impactos y consecuencias, incluidos los costosos “informes de consultoría”, se han convertido en casi todos los países de la región en una especie de misterio nacional: no existen en ninguna institución pública, ni en ninguna biblioteca pública. </w:t>
      </w:r>
    </w:p>
    <w:p w:rsidR="00EC7166" w:rsidRPr="00134DEB" w:rsidRDefault="00EC7166" w:rsidP="00134DEB">
      <w:pPr>
        <w:jc w:val="both"/>
      </w:pPr>
    </w:p>
    <w:p w:rsidR="00EC7166" w:rsidRPr="003B4DD8" w:rsidRDefault="00EC7166" w:rsidP="00134DEB">
      <w:pPr>
        <w:jc w:val="both"/>
      </w:pPr>
      <w:r w:rsidRPr="00134DEB">
        <w:t xml:space="preserve">Estos proyectos de reforma sectorial fueron creados para experimentar las formas de privatización de las políticas públicas y los marcos categoriales y metodológicos que luego se convertirían en el formato del Estado en su conjunto. Los proyectos de la reforma sectorial se situaban a la sombra y al amparo del Estado. Crecían como un cuerpo metastático en la periferia del Estado. No eran Estado, pero supuestamente tampoco eran sector privado. Se movían en ese aparente intersticio entre lo público y lo privado que son las ONG’s y la cooperación al desarrollo. De ese intersticio extraían las condiciones de su legitimidad política y a partir de esa situación de ambigüedad y de limbo político, obtenían el peso político para imponer sus prescripciones al conjunto del Estado y la sociedad. </w:t>
      </w:r>
      <w:r w:rsidRPr="003B4DD8">
        <w:t xml:space="preserve">Eran un cuerpo canceroso creado </w:t>
      </w:r>
      <w:r w:rsidRPr="003B4DD8">
        <w:rPr>
          <w:i/>
        </w:rPr>
        <w:t>ex profeso</w:t>
      </w:r>
      <w:r w:rsidRPr="003B4DD8">
        <w:t xml:space="preserve"> para infectar al Estado con la lógica neoliberal. </w:t>
      </w:r>
    </w:p>
    <w:p w:rsidR="00EC7166" w:rsidRPr="00134DEB" w:rsidRDefault="00EC7166" w:rsidP="00134DEB">
      <w:pPr>
        <w:jc w:val="both"/>
      </w:pPr>
    </w:p>
    <w:p w:rsidR="00EC7166" w:rsidRPr="00134DEB" w:rsidRDefault="00EC7166" w:rsidP="00134DEB">
      <w:pPr>
        <w:jc w:val="both"/>
      </w:pPr>
      <w:r w:rsidRPr="00134DEB">
        <w:t>En virtud de que eran proyectos de mediano plazo que testaban sus metodologías y sus cuadros tecno-políticos directamente con el Estado y, además, realizaban cambios en el Estado en conformidad con las estrategias establecidas desde el complejo institucional de la reforma estructural nunca rindieron cuentas a nadie que no sea al propio complejo institucional de la reforma estructural. Su lealtad era con el FMI, con el Banco Mundial, con el BID, con la GTZ, con la COSUDE, con el PNUD, con la CAF, nunca con el Estado que les dio abrigo y cobertura. Nunca rindieron cuentas a la sociedad, y la única vez que pretendieron hacerlo (en el proyecto SAPRI del Banco Mundial), se trató más bien de una estrategia política de relegitimación y de manipulación social. Para el conjunto de la sociedad, e incluso para líderes de opinión y dirigentes sociales, los acrónimos de los proyectos de la reforma estructural eran un arcano misterioso y de difícil comprensión y acceso. Nunca la sociedad conoció, debatió, reflexionó o aprobó ninguno de esos proyectos de reforma sectorial. Sus marcos metodológicos eran metalenguaje puro. Representaban el grado cero de la democracia y la transparencia. Eran casi las entelequias de un poder real que actuaba a la sombra. Una vez que lograban sus resultados, para utilizar una metáfora médica, y conseguían la transferencia de su ADN hacia el Estado, que finalmente adoptaba esas metodologías de los proyectos sectoriales como políticas de Estado, estos proyectos sectoriales s</w:t>
      </w:r>
      <w:r w:rsidR="0088681D" w:rsidRPr="00134DEB">
        <w:t>e</w:t>
      </w:r>
      <w:r w:rsidRPr="00134DEB">
        <w:t xml:space="preserve"> extinguían y desaparecían en una bruma de olvido e indiferencia creada a propósito. Nacieron desde la sombra del complejo institucional de la reforma estructural y, una vez cumplidos sus propósitos, regresaron a las sombras.</w:t>
      </w:r>
    </w:p>
    <w:p w:rsidR="00EC7166" w:rsidRPr="00134DEB" w:rsidRDefault="00EC7166" w:rsidP="00134DEB">
      <w:pPr>
        <w:jc w:val="both"/>
      </w:pPr>
    </w:p>
    <w:p w:rsidR="00EC7166" w:rsidRPr="00134DEB" w:rsidRDefault="00EC7166" w:rsidP="00134DEB">
      <w:pPr>
        <w:jc w:val="both"/>
      </w:pPr>
      <w:r w:rsidRPr="00134DEB">
        <w:t>El Estado que había sido contaminado por esos proyectos de la reforma estructural-sectorial no podía ser el mismo Estado de la industrialización o de Bienestar. Era un Estado adecuado completamente a las coordenadas de la acumulación del capital en tiempos de neoliberalismo y globalización. Era un Estado que pensaba en términos de “marco lógico”, “árbol de problemas”, “FODA”, “análisis sectorial”, “competitividad”, “cambios institucionales”, etc. Era un Estado colonizado en su episteme misma por el complejo institucional de la reforma estructural. Un Estado hobbesiano y pensado en términos del derecho privado y de propiedad (el famoso “Estado social de derecho” neoliberal). Un Estado presto para actuar en defensa de la propiedad privada y los intereses de los inversionistas privados. Un Estado que podía criminalizar a su población al tiempo que garantizaba la “seguridad jurídica”. Es por ello que el Banco Mundial ahora preconice la consolidación del Estado, porque es un armazón que nada tiene que ver con el Estado anterior a las reformas estructurales del neoliberalismo. Es por ello que en América Latina varios gobiernos pueden proponer y llevar adelante estrategias políticas de recuperación del Estado, porque ese Estado es la mejor garantía para el funcionamiento del neoliberalismo. Es por ello que los gobiernos progresistas y de “izquierda” pudieron posicionar su discurso de rescate de la soberanía estatal y de la acción del Estado y de las políticas públicas, y que muchos sectores sociales en el continente hayan pensado que se trataba de un cambio radical en el modelo económico neoliberal, cuando en realidad representaba su consolidación y fortalecimiento. Es desde allí que hay que comprender las ambigüedades de los discursos políticos en estos momentos de transición al pos-neoliberalismo.</w:t>
      </w:r>
    </w:p>
    <w:p w:rsidR="00B41CAA" w:rsidRDefault="00B41CAA" w:rsidP="00B41CAA">
      <w:pPr>
        <w:jc w:val="center"/>
        <w:rPr>
          <w:b/>
          <w:szCs w:val="36"/>
        </w:rPr>
      </w:pPr>
      <w:r>
        <w:br w:type="page"/>
      </w:r>
      <w:r>
        <w:rPr>
          <w:b/>
          <w:szCs w:val="36"/>
        </w:rPr>
        <w:t>Capítulo 2</w:t>
      </w:r>
    </w:p>
    <w:p w:rsidR="00B41CAA" w:rsidRDefault="00B41CAA" w:rsidP="00B41CAA">
      <w:pPr>
        <w:jc w:val="center"/>
        <w:rPr>
          <w:b/>
          <w:szCs w:val="36"/>
        </w:rPr>
      </w:pPr>
    </w:p>
    <w:p w:rsidR="00B41CAA" w:rsidRPr="00B41CAA" w:rsidRDefault="00B41CAA" w:rsidP="00B41CAA">
      <w:pPr>
        <w:jc w:val="center"/>
        <w:rPr>
          <w:b/>
        </w:rPr>
      </w:pPr>
      <w:r w:rsidRPr="00B41CAA">
        <w:rPr>
          <w:b/>
          <w:lang w:val="es-ES_tradnl"/>
        </w:rPr>
        <w:t>Estudio de las estructuras de Concentración y Centralización del subsector de servicios del sector salud</w:t>
      </w:r>
    </w:p>
    <w:p w:rsidR="00B41CAA" w:rsidRPr="00B41CAA" w:rsidRDefault="00B41CAA" w:rsidP="00B41CAA">
      <w:pPr>
        <w:jc w:val="both"/>
        <w:rPr>
          <w:lang w:val="es-ES_tradnl"/>
        </w:rPr>
      </w:pPr>
    </w:p>
    <w:p w:rsidR="00B41CAA" w:rsidRDefault="00B41CAA" w:rsidP="00B41CAA">
      <w:pPr>
        <w:jc w:val="both"/>
        <w:rPr>
          <w:lang w:val="es-ES_tradnl"/>
        </w:rPr>
      </w:pPr>
    </w:p>
    <w:p w:rsidR="00B41CAA" w:rsidRPr="00B41CAA" w:rsidRDefault="00B41CAA" w:rsidP="00B41CAA">
      <w:pPr>
        <w:jc w:val="both"/>
        <w:rPr>
          <w:lang w:val="es-ES_tradnl"/>
        </w:rPr>
      </w:pPr>
      <w:r w:rsidRPr="00B41CAA">
        <w:rPr>
          <w:lang w:val="es-ES_tradnl"/>
        </w:rPr>
        <w:t>Antes de empezar con el análisis de datos, la decisión de estudiar primero y por separado el subsector servicios se da debido a que es justamente la parte de todo el sector salud que conforma la atención directa al paciente, incluye además a los médicos y podemos distinguir claramente entre sector público y privado, con énfasis en la diferenciación de provincias y poblaciones. A continuación expondremos las actividades que conforman el subsector de Servicios del Sector Salud:</w:t>
      </w:r>
    </w:p>
    <w:p w:rsidR="00B41CAA" w:rsidRPr="00224ADE" w:rsidRDefault="00B41CAA" w:rsidP="00B41CAA">
      <w:pPr>
        <w:jc w:val="both"/>
        <w:rPr>
          <w:sz w:val="20"/>
          <w:lang w:val="es-ES_tradnl"/>
        </w:rPr>
      </w:pP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Fabricación de sustancias medicinales activas que se utilizan por sus propiedades farmacológicas en la fabricación de medicamentos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mayor de productos farmacéuticos.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menor de productos farmacéuticos en establecimientos especializados.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Consulta y tratamiento por médicos generales y especialistas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a corto y a largo plazo de los hospitales básicos y generales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odontológica de carácter general o especializado</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mayor de instrumentos, materiales médicos y quirúrgicos.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destinadas principalmente a pacientes internos y se realizan bajo la supervisión directa de médicos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de la salud humana realizadas por enfermeros, enfermeras y auxiliares de enfermería, que no se llevan a cabo en hospitales ni entrañan la participación de médicos ni de odontólogos.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guardería o atención diurna de niños, incluyendo el cuidado diurno de niños con discapacidad.</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mayor de productos medicinales (naturistas).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menor de instrumentos y aparatos medicinales en establecimientos especializados.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laboratorios clínicos de análisis de sangre, orina, etcétera.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menor de productos naturistas en establecimientos especializados.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destinadas a proporcionar asistencia social las 24 horas del día a niños y a determinadas categorías de personas que no pueden valerse plenamente por sí mismas, en las que el tratamiento médico o la enseñanza no son componentes importante</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bienestar social y de orientación para niños y adolescentes, actividades de adopción y actividades para prevenir la crueldad contra los niños y otras personas.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menor de instrumentos y aparatos ortopédicos en establecimientos especializados.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Laboratorios de radiología (rayos X) y otros centros de diagnóstico por imagen.</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odontológica en salas de operaciones.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sociales, de asesoramiento, de bienestar social, de remisión y servicios similares que prestan a personas de edad y personas con discapacidad</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Fabricación de sustancias radiactivas para diagnóstico en vivo, etcétera, productos de biotecnología.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banco de sangre, de esperma, de órganos para transplantes, etcétera.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en instalaciones residenciales con asistencia para la vida cotidiana.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en hogares de transición colectivos para personas con problemas sociales o personales, hogares de transición para delincuentes y campamentos disciplinarios.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de centros de planificación familiar que provee tratamientos médicos, como los de esterilización y de interrupción del embarazo, sin alojamiento.</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Venta al por menor de productos veterinarios en establecimientos especializados.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de asesoramiento en economía doméstica, de orientación matrimonial y familiar, asesoramiento en cuestiones crediticias y de deuda, actividades comunitarias y vecinales y actividades de rehabilitación y habilitación profesional para personas desempleadas, siempre que el componente de educación sea limitado.</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Fabricación de guatas, gasas, hilos, vendas y apósitos médicos impregnados.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de atención en instalaciones para el tratamiento del alcoholismo y la drogodependencia.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ayuda a víctimas de desastres, refugiados, inmigrantes, etcétera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determinación del derecho a recibir prestaciones sociales, subsidios de alquiler o cupones de alimentos.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Fabricación de productos farmacéuticos para uso veterinario, sean genéricos o de marca registrada, de venta al público en general o reglamentada por las autoridades.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Transporte de pacientes en ambulancias corrientes y ambulancias aéreas. Estos servicios se prestan a menudo durante una situación de emergencia médica.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en hogares de ancianos con atención mínima de enfermería y actividades de atención en casas de reposo sin atención de enfermería.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residencias de ancianos con atención de enfermería.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de atención en casas de convalecencia psiquiátrica, servicios de atención en hogares residenciales colectivos para personas con perturbaciones emocionales y servicios de atención en hogares de transición para enfermos mentales.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casas de convalecencia, clínicas de reposo con atención de enfermería y residencias con cuidados de enfermería.</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en comunidades de jubilados con atención permanente.</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a corto y a largo plazo de los hospitales especializados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atención de la salud humana realizadas por personal paramédico especializado que no se llevan a cabo en hospitales ni entrañan la participación de médicos ni de odontólogos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de atención en instalaciones para personas con retraso mental.</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Preparación de productos botánicos (trituración, cribado, molido) para uso farmacéutico.</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de asistencia médica privada a pacientes internos por médicos externos.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Servicios diurnos para personas sin hogar y otros grupos socialmente desfavorecidos.</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rPr>
        <w:t>Actividades de casas de salud.</w:t>
      </w:r>
    </w:p>
    <w:p w:rsidR="00B41CAA" w:rsidRPr="00224ADE" w:rsidRDefault="00B41CAA" w:rsidP="00B41CAA">
      <w:pPr>
        <w:pStyle w:val="Prrafodelista"/>
        <w:widowControl/>
        <w:numPr>
          <w:ilvl w:val="0"/>
          <w:numId w:val="18"/>
        </w:numPr>
        <w:spacing w:after="200" w:line="276" w:lineRule="auto"/>
        <w:contextualSpacing/>
        <w:jc w:val="both"/>
        <w:rPr>
          <w:rFonts w:ascii="Times New Roman" w:hAnsi="Times New Roman"/>
        </w:rPr>
      </w:pPr>
      <w:r w:rsidRPr="00224ADE">
        <w:rPr>
          <w:rFonts w:ascii="Times New Roman" w:hAnsi="Times New Roman"/>
          <w:sz w:val="20"/>
          <w:lang w:val="es-ES_tradnl"/>
        </w:rPr>
        <w:br w:type="page"/>
      </w:r>
    </w:p>
    <w:p w:rsidR="00B41CAA" w:rsidRPr="00224ADE" w:rsidRDefault="00B41CAA" w:rsidP="00B41CAA">
      <w:pPr>
        <w:pStyle w:val="Ttulo1"/>
        <w:rPr>
          <w:rFonts w:ascii="Times New Roman" w:hAnsi="Times New Roman"/>
          <w:lang w:val="es-ES_tradnl"/>
        </w:rPr>
      </w:pPr>
      <w:r w:rsidRPr="00224ADE">
        <w:rPr>
          <w:rFonts w:ascii="Times New Roman" w:hAnsi="Times New Roman"/>
          <w:lang w:val="es-ES_tradnl"/>
        </w:rPr>
        <w:t>Comparativo entre regiones:</w:t>
      </w:r>
    </w:p>
    <w:p w:rsidR="00B41CAA" w:rsidRPr="00224ADE" w:rsidRDefault="00B41CAA" w:rsidP="00B41CAA">
      <w:pPr>
        <w:jc w:val="both"/>
        <w:rPr>
          <w:sz w:val="20"/>
          <w:lang w:val="es-ES_tradnl"/>
        </w:rPr>
      </w:pPr>
      <w:r w:rsidRPr="00224ADE">
        <w:rPr>
          <w:sz w:val="20"/>
          <w:lang w:val="es-ES_tradnl"/>
        </w:rPr>
        <w:t>El primer análisis dado con datos comparativos entre regiones, nos muestra que existe un pequeño grado de centralización de la actividad de los servicios de la Salud en la Sierra, por ser este no tan significativo continuaremos solamente viendo una tabla de distribución en donde se aprecia lo antes mencionado:</w:t>
      </w:r>
    </w:p>
    <w:tbl>
      <w:tblPr>
        <w:tblW w:w="5000" w:type="pct"/>
        <w:jc w:val="center"/>
        <w:tblCellMar>
          <w:left w:w="70" w:type="dxa"/>
          <w:right w:w="70" w:type="dxa"/>
        </w:tblCellMar>
        <w:tblLook w:val="04A0" w:firstRow="1" w:lastRow="0" w:firstColumn="1" w:lastColumn="0" w:noHBand="0" w:noVBand="1"/>
      </w:tblPr>
      <w:tblGrid>
        <w:gridCol w:w="2561"/>
        <w:gridCol w:w="2392"/>
        <w:gridCol w:w="2191"/>
        <w:gridCol w:w="1010"/>
        <w:gridCol w:w="1012"/>
      </w:tblGrid>
      <w:tr w:rsidR="00B41CAA" w:rsidRPr="00224ADE">
        <w:trPr>
          <w:trHeight w:val="251"/>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b/>
                <w:bCs/>
                <w:sz w:val="14"/>
              </w:rPr>
            </w:pPr>
            <w:r w:rsidRPr="00224ADE">
              <w:rPr>
                <w:rFonts w:cs="Calibri"/>
                <w:b/>
                <w:bCs/>
                <w:sz w:val="14"/>
              </w:rPr>
              <w:t>REGIÓN</w:t>
            </w:r>
          </w:p>
        </w:tc>
        <w:tc>
          <w:tcPr>
            <w:tcW w:w="1305" w:type="pct"/>
            <w:tcBorders>
              <w:top w:val="single" w:sz="4" w:space="0" w:color="7F7F7F"/>
              <w:left w:val="nil"/>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b/>
                <w:bCs/>
                <w:sz w:val="14"/>
              </w:rPr>
            </w:pPr>
            <w:r w:rsidRPr="00224ADE">
              <w:rPr>
                <w:rFonts w:cs="Calibri"/>
                <w:b/>
                <w:bCs/>
                <w:sz w:val="14"/>
              </w:rPr>
              <w:t>% del Total de Establ.</w:t>
            </w:r>
          </w:p>
        </w:tc>
        <w:tc>
          <w:tcPr>
            <w:tcW w:w="1195" w:type="pct"/>
            <w:tcBorders>
              <w:top w:val="single" w:sz="4" w:space="0" w:color="7F7F7F"/>
              <w:left w:val="nil"/>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b/>
                <w:bCs/>
                <w:sz w:val="14"/>
              </w:rPr>
            </w:pPr>
            <w:r w:rsidRPr="00224ADE">
              <w:rPr>
                <w:rFonts w:cs="Calibri"/>
                <w:b/>
                <w:bCs/>
                <w:sz w:val="14"/>
              </w:rPr>
              <w:t>% del Total de Pobl.</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55"/>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i/>
                <w:iCs/>
                <w:sz w:val="14"/>
              </w:rPr>
            </w:pPr>
            <w:r w:rsidRPr="00224ADE">
              <w:rPr>
                <w:rFonts w:cs="Calibri"/>
                <w:i/>
                <w:iCs/>
                <w:sz w:val="14"/>
              </w:rPr>
              <w:t>TOTAL</w:t>
            </w:r>
          </w:p>
        </w:tc>
        <w:tc>
          <w:tcPr>
            <w:tcW w:w="130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i/>
                <w:iCs/>
                <w:sz w:val="14"/>
              </w:rPr>
            </w:pPr>
            <w:r w:rsidRPr="00224ADE">
              <w:rPr>
                <w:rFonts w:cs="Calibri"/>
                <w:i/>
                <w:iCs/>
                <w:sz w:val="14"/>
              </w:rPr>
              <w:t>100%</w:t>
            </w:r>
          </w:p>
        </w:tc>
        <w:tc>
          <w:tcPr>
            <w:tcW w:w="119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i/>
                <w:iCs/>
                <w:sz w:val="14"/>
              </w:rPr>
            </w:pPr>
            <w:r w:rsidRPr="00224ADE">
              <w:rPr>
                <w:rFonts w:cs="Calibri"/>
                <w:i/>
                <w:iCs/>
                <w:sz w:val="14"/>
              </w:rPr>
              <w:t>100%</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73"/>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sz w:val="14"/>
              </w:rPr>
            </w:pPr>
            <w:r w:rsidRPr="00224ADE">
              <w:rPr>
                <w:rFonts w:cs="Calibri"/>
                <w:sz w:val="14"/>
              </w:rPr>
              <w:t>COSTA</w:t>
            </w:r>
          </w:p>
        </w:tc>
        <w:tc>
          <w:tcPr>
            <w:tcW w:w="130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42%</w:t>
            </w:r>
          </w:p>
        </w:tc>
        <w:tc>
          <w:tcPr>
            <w:tcW w:w="119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50%</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50"/>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sz w:val="14"/>
              </w:rPr>
            </w:pPr>
            <w:r w:rsidRPr="00224ADE">
              <w:rPr>
                <w:rFonts w:cs="Calibri"/>
                <w:sz w:val="14"/>
              </w:rPr>
              <w:t>SIERRA</w:t>
            </w:r>
          </w:p>
        </w:tc>
        <w:tc>
          <w:tcPr>
            <w:tcW w:w="130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55%</w:t>
            </w:r>
          </w:p>
        </w:tc>
        <w:tc>
          <w:tcPr>
            <w:tcW w:w="119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45%</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107"/>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sz w:val="14"/>
              </w:rPr>
            </w:pPr>
            <w:r w:rsidRPr="00224ADE">
              <w:rPr>
                <w:rFonts w:cs="Calibri"/>
                <w:sz w:val="14"/>
              </w:rPr>
              <w:t>ORIENTE</w:t>
            </w:r>
          </w:p>
        </w:tc>
        <w:tc>
          <w:tcPr>
            <w:tcW w:w="130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3%</w:t>
            </w:r>
          </w:p>
        </w:tc>
        <w:tc>
          <w:tcPr>
            <w:tcW w:w="119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5%</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53"/>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sz w:val="14"/>
              </w:rPr>
            </w:pPr>
            <w:r w:rsidRPr="00224ADE">
              <w:rPr>
                <w:rFonts w:cs="Calibri"/>
                <w:sz w:val="14"/>
              </w:rPr>
              <w:t>GALAPAGOS</w:t>
            </w:r>
          </w:p>
        </w:tc>
        <w:tc>
          <w:tcPr>
            <w:tcW w:w="130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0%</w:t>
            </w:r>
          </w:p>
        </w:tc>
        <w:tc>
          <w:tcPr>
            <w:tcW w:w="119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0%</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127"/>
          <w:jc w:val="center"/>
        </w:trPr>
        <w:tc>
          <w:tcPr>
            <w:tcW w:w="1397" w:type="pct"/>
            <w:tcBorders>
              <w:top w:val="single" w:sz="4" w:space="0" w:color="7F7F7F"/>
              <w:left w:val="single" w:sz="4" w:space="0" w:color="7F7F7F"/>
              <w:bottom w:val="single" w:sz="4" w:space="0" w:color="7F7F7F"/>
              <w:right w:val="single" w:sz="4" w:space="0" w:color="7F7F7F"/>
            </w:tcBorders>
            <w:shd w:val="clear" w:color="000000" w:fill="auto"/>
            <w:noWrap/>
            <w:vAlign w:val="bottom"/>
          </w:tcPr>
          <w:p w:rsidR="00B41CAA" w:rsidRPr="00224ADE" w:rsidRDefault="00B41CAA" w:rsidP="00B41CAA">
            <w:pPr>
              <w:jc w:val="both"/>
              <w:rPr>
                <w:rFonts w:cs="Calibri"/>
                <w:sz w:val="14"/>
              </w:rPr>
            </w:pPr>
            <w:r w:rsidRPr="00224ADE">
              <w:rPr>
                <w:rFonts w:cs="Calibri"/>
                <w:sz w:val="14"/>
              </w:rPr>
              <w:t>ZONAS NO DELIMITADAS</w:t>
            </w:r>
          </w:p>
        </w:tc>
        <w:tc>
          <w:tcPr>
            <w:tcW w:w="130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0%</w:t>
            </w:r>
          </w:p>
        </w:tc>
        <w:tc>
          <w:tcPr>
            <w:tcW w:w="1195" w:type="pct"/>
            <w:tcBorders>
              <w:top w:val="single" w:sz="4" w:space="0" w:color="7F7F7F"/>
              <w:left w:val="nil"/>
              <w:bottom w:val="single" w:sz="4" w:space="0" w:color="7F7F7F"/>
              <w:right w:val="single" w:sz="4" w:space="0" w:color="7F7F7F"/>
            </w:tcBorders>
            <w:shd w:val="clear" w:color="000000" w:fill="auto"/>
            <w:vAlign w:val="center"/>
          </w:tcPr>
          <w:p w:rsidR="00B41CAA" w:rsidRPr="00224ADE" w:rsidRDefault="00B41CAA" w:rsidP="00B41CAA">
            <w:pPr>
              <w:jc w:val="both"/>
              <w:rPr>
                <w:rFonts w:cs="Calibri"/>
                <w:sz w:val="14"/>
              </w:rPr>
            </w:pPr>
            <w:r w:rsidRPr="00224ADE">
              <w:rPr>
                <w:rFonts w:cs="Calibri"/>
                <w:sz w:val="14"/>
              </w:rPr>
              <w:t>0%</w:t>
            </w: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r w:rsidR="00B41CAA" w:rsidRPr="00224ADE">
        <w:trPr>
          <w:trHeight w:val="315"/>
          <w:jc w:val="center"/>
        </w:trPr>
        <w:tc>
          <w:tcPr>
            <w:tcW w:w="5000" w:type="pct"/>
            <w:gridSpan w:val="5"/>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r w:rsidRPr="00224ADE">
              <w:rPr>
                <w:rFonts w:cs="Calibri"/>
                <w:color w:val="000000"/>
                <w:sz w:val="14"/>
              </w:rPr>
              <w:t>FUENTE: INEC, Censo Nacional Económico (CENEC), 2010; INEC, Censo Nacional de Población y Vivienda, 2010</w:t>
            </w:r>
          </w:p>
        </w:tc>
      </w:tr>
      <w:tr w:rsidR="00B41CAA" w:rsidRPr="00224ADE">
        <w:trPr>
          <w:trHeight w:val="315"/>
          <w:jc w:val="center"/>
        </w:trPr>
        <w:tc>
          <w:tcPr>
            <w:tcW w:w="2702" w:type="pct"/>
            <w:gridSpan w:val="2"/>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r w:rsidRPr="00224ADE">
              <w:rPr>
                <w:rFonts w:cs="Calibri"/>
                <w:color w:val="000000"/>
                <w:sz w:val="14"/>
              </w:rPr>
              <w:t>ELABORACIÓN: Instituto de Salud Pública, PUCE</w:t>
            </w:r>
          </w:p>
        </w:tc>
        <w:tc>
          <w:tcPr>
            <w:tcW w:w="1195"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c>
          <w:tcPr>
            <w:tcW w:w="551" w:type="pct"/>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rPr>
            </w:pPr>
          </w:p>
        </w:tc>
      </w:tr>
    </w:tbl>
    <w:p w:rsidR="00B41CAA" w:rsidRPr="00224ADE" w:rsidRDefault="00B41CAA" w:rsidP="00B41CAA">
      <w:pPr>
        <w:jc w:val="both"/>
        <w:rPr>
          <w:sz w:val="20"/>
          <w:lang w:val="es-ES_tradnl"/>
        </w:rPr>
      </w:pPr>
    </w:p>
    <w:p w:rsidR="00B41CAA" w:rsidRPr="00224ADE" w:rsidRDefault="00B41CAA" w:rsidP="00B41CAA">
      <w:pPr>
        <w:jc w:val="both"/>
        <w:rPr>
          <w:sz w:val="20"/>
          <w:lang w:val="es-ES_tradnl"/>
        </w:rPr>
      </w:pPr>
      <w:r w:rsidRPr="00224ADE">
        <w:rPr>
          <w:sz w:val="20"/>
          <w:lang w:val="es-ES_tradnl"/>
        </w:rPr>
        <w:t xml:space="preserve">La primera forma de concentración se da en lo que hemos denominado </w:t>
      </w:r>
      <w:r w:rsidRPr="00224ADE">
        <w:rPr>
          <w:i/>
          <w:sz w:val="20"/>
          <w:lang w:val="es-ES_tradnl"/>
        </w:rPr>
        <w:t>polo económicos</w:t>
      </w:r>
      <w:r w:rsidRPr="00224ADE">
        <w:rPr>
          <w:sz w:val="20"/>
          <w:lang w:val="es-ES_tradnl"/>
        </w:rPr>
        <w:t xml:space="preserve">, estos están conformados por las provincias de Pichincha, Guayas y Azuay; mientras la categoría </w:t>
      </w:r>
      <w:r w:rsidRPr="00224ADE">
        <w:rPr>
          <w:i/>
          <w:sz w:val="20"/>
          <w:lang w:val="es-ES_tradnl"/>
        </w:rPr>
        <w:t>resto de país</w:t>
      </w:r>
      <w:r w:rsidRPr="00224ADE">
        <w:rPr>
          <w:sz w:val="20"/>
          <w:lang w:val="es-ES_tradnl"/>
        </w:rPr>
        <w:t xml:space="preserve">, la conforman las restantes 21 provincias más las </w:t>
      </w:r>
      <w:r w:rsidRPr="00224ADE">
        <w:rPr>
          <w:i/>
          <w:sz w:val="20"/>
          <w:lang w:val="es-ES_tradnl"/>
        </w:rPr>
        <w:t>zonas no delimitadas</w:t>
      </w:r>
      <w:r w:rsidRPr="00224ADE">
        <w:rPr>
          <w:sz w:val="20"/>
          <w:lang w:val="es-ES_tradnl"/>
        </w:rPr>
        <w:t xml:space="preserve">, las cuáles contarán como una provincia más. </w:t>
      </w:r>
    </w:p>
    <w:tbl>
      <w:tblPr>
        <w:tblW w:w="19428" w:type="dxa"/>
        <w:tblInd w:w="70" w:type="dxa"/>
        <w:tblCellMar>
          <w:left w:w="70" w:type="dxa"/>
          <w:right w:w="70" w:type="dxa"/>
        </w:tblCellMar>
        <w:tblLook w:val="04A0" w:firstRow="1" w:lastRow="0" w:firstColumn="1" w:lastColumn="0" w:noHBand="0" w:noVBand="1"/>
      </w:tblPr>
      <w:tblGrid>
        <w:gridCol w:w="8208"/>
        <w:gridCol w:w="3196"/>
        <w:gridCol w:w="1496"/>
        <w:gridCol w:w="2176"/>
        <w:gridCol w:w="2176"/>
        <w:gridCol w:w="2176"/>
      </w:tblGrid>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rPr>
            </w:pPr>
            <w:r w:rsidRPr="00224ADE">
              <w:rPr>
                <w:rFonts w:cs="Calibri"/>
                <w:noProof/>
                <w:color w:val="000000"/>
                <w:lang w:val="es-EC" w:eastAsia="es-EC"/>
              </w:rPr>
              <w:drawing>
                <wp:anchor distT="0" distB="0" distL="114300" distR="114300" simplePos="0" relativeHeight="251660288" behindDoc="0" locked="0" layoutInCell="1" allowOverlap="1">
                  <wp:simplePos x="0" y="0"/>
                  <wp:positionH relativeFrom="column">
                    <wp:posOffset>0</wp:posOffset>
                  </wp:positionH>
                  <wp:positionV relativeFrom="paragraph">
                    <wp:posOffset>-2540</wp:posOffset>
                  </wp:positionV>
                  <wp:extent cx="5111750" cy="2305050"/>
                  <wp:effectExtent l="0" t="0" r="12700" b="19050"/>
                  <wp:wrapNone/>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anchor>
              </w:drawing>
            </w:r>
          </w:p>
          <w:tbl>
            <w:tblPr>
              <w:tblW w:w="0" w:type="auto"/>
              <w:tblCellSpacing w:w="0" w:type="dxa"/>
              <w:tblCellMar>
                <w:left w:w="0" w:type="dxa"/>
                <w:right w:w="0" w:type="dxa"/>
              </w:tblCellMar>
              <w:tblLook w:val="04A0" w:firstRow="1" w:lastRow="0" w:firstColumn="1" w:lastColumn="0" w:noHBand="0" w:noVBand="1"/>
            </w:tblPr>
            <w:tblGrid>
              <w:gridCol w:w="1200"/>
            </w:tblGrid>
            <w:tr w:rsidR="00B41CAA" w:rsidRPr="00224ADE">
              <w:trPr>
                <w:trHeight w:val="255"/>
                <w:tblCellSpacing w:w="0" w:type="dxa"/>
              </w:trPr>
              <w:tc>
                <w:tcPr>
                  <w:tcW w:w="1200"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bl>
          <w:p w:rsidR="00B41CAA" w:rsidRPr="00224ADE" w:rsidRDefault="00B41CAA" w:rsidP="00B41CAA">
            <w:pPr>
              <w:jc w:val="both"/>
              <w:rPr>
                <w:rFonts w:cs="Calibri"/>
                <w:color w:val="000000"/>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2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b/>
                <w:bCs/>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b/>
                <w:bCs/>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b/>
                <w:bCs/>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b/>
                <w:bCs/>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255"/>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szCs w:val="16"/>
              </w:rPr>
            </w:pPr>
            <w:r w:rsidRPr="00224ADE">
              <w:rPr>
                <w:rFonts w:cs="Calibri"/>
                <w:color w:val="000000"/>
                <w:sz w:val="14"/>
                <w:szCs w:val="16"/>
              </w:rPr>
              <w:t>FUENTE: INEC, Censo Nacional Económico (CENEC), 2010; INEC, Censo Nacional de Población y Vivienda, 2010</w:t>
            </w: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gridAfter w:val="2"/>
          <w:wAfter w:w="4352" w:type="dxa"/>
          <w:trHeight w:val="107"/>
        </w:trPr>
        <w:tc>
          <w:tcPr>
            <w:tcW w:w="8208"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4"/>
                <w:szCs w:val="16"/>
              </w:rPr>
            </w:pPr>
            <w:r w:rsidRPr="00224ADE">
              <w:rPr>
                <w:rFonts w:cs="Calibri"/>
                <w:color w:val="000000"/>
                <w:sz w:val="14"/>
                <w:szCs w:val="16"/>
              </w:rPr>
              <w:t>ELABORACIÓN: Instituto de Salud Pública, PUCE</w:t>
            </w:r>
          </w:p>
        </w:tc>
        <w:tc>
          <w:tcPr>
            <w:tcW w:w="31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149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r>
      <w:tr w:rsidR="00B41CAA" w:rsidRPr="00224ADE">
        <w:trPr>
          <w:trHeight w:val="255"/>
        </w:trPr>
        <w:tc>
          <w:tcPr>
            <w:tcW w:w="15076" w:type="dxa"/>
            <w:gridSpan w:val="4"/>
            <w:tcBorders>
              <w:top w:val="nil"/>
              <w:left w:val="nil"/>
              <w:bottom w:val="nil"/>
              <w:right w:val="nil"/>
            </w:tcBorders>
            <w:shd w:val="clear" w:color="auto" w:fill="auto"/>
            <w:noWrap/>
            <w:vAlign w:val="bottom"/>
          </w:tcPr>
          <w:p w:rsidR="00B41CAA" w:rsidRPr="00224ADE" w:rsidRDefault="00B41CAA" w:rsidP="00B41CAA">
            <w:pPr>
              <w:jc w:val="both"/>
              <w:rPr>
                <w:rFonts w:cs="Calibri"/>
                <w:color w:val="000000"/>
                <w:sz w:val="16"/>
                <w:szCs w:val="16"/>
              </w:rPr>
            </w:pPr>
          </w:p>
        </w:tc>
        <w:tc>
          <w:tcPr>
            <w:tcW w:w="2176" w:type="dxa"/>
            <w:vAlign w:val="bottom"/>
          </w:tcPr>
          <w:p w:rsidR="00B41CAA" w:rsidRPr="00224ADE" w:rsidRDefault="00B41CAA" w:rsidP="00B41CAA">
            <w:pPr>
              <w:jc w:val="both"/>
              <w:rPr>
                <w:rFonts w:cs="Calibri"/>
                <w:color w:val="000000"/>
                <w:sz w:val="16"/>
                <w:szCs w:val="16"/>
              </w:rPr>
            </w:pPr>
          </w:p>
        </w:tc>
        <w:tc>
          <w:tcPr>
            <w:tcW w:w="2176" w:type="dxa"/>
            <w:vAlign w:val="bottom"/>
          </w:tcPr>
          <w:p w:rsidR="00B41CAA" w:rsidRPr="00224ADE" w:rsidRDefault="00B41CAA" w:rsidP="00B41CAA">
            <w:pPr>
              <w:jc w:val="both"/>
              <w:rPr>
                <w:rFonts w:cs="Calibri"/>
                <w:color w:val="000000"/>
                <w:sz w:val="16"/>
                <w:szCs w:val="16"/>
              </w:rPr>
            </w:pPr>
          </w:p>
        </w:tc>
      </w:tr>
    </w:tbl>
    <w:p w:rsidR="00B41CAA" w:rsidRPr="00224ADE" w:rsidRDefault="00B41CAA" w:rsidP="00B41CAA">
      <w:pPr>
        <w:jc w:val="both"/>
        <w:rPr>
          <w:sz w:val="20"/>
          <w:lang w:val="es-ES_tradnl"/>
        </w:rPr>
      </w:pPr>
    </w:p>
    <w:p w:rsidR="00B41CAA" w:rsidRPr="00224ADE" w:rsidRDefault="00B41CAA" w:rsidP="00B41CAA">
      <w:pPr>
        <w:jc w:val="both"/>
        <w:rPr>
          <w:lang w:val="es-ES_tradnl"/>
        </w:rPr>
      </w:pPr>
      <w:r w:rsidRPr="00224ADE">
        <w:rPr>
          <w:lang w:val="es-ES_tradnl"/>
        </w:rPr>
        <w:br w:type="page"/>
      </w:r>
    </w:p>
    <w:p w:rsidR="00B41CAA" w:rsidRPr="00224ADE" w:rsidRDefault="00B41CAA" w:rsidP="00B41CAA">
      <w:pPr>
        <w:pStyle w:val="Ttulo1"/>
        <w:rPr>
          <w:rFonts w:ascii="Times New Roman" w:hAnsi="Times New Roman"/>
          <w:lang w:val="es-ES_tradnl"/>
        </w:rPr>
      </w:pPr>
      <w:r w:rsidRPr="00224ADE">
        <w:rPr>
          <w:rFonts w:ascii="Times New Roman" w:hAnsi="Times New Roman"/>
          <w:lang w:val="es-ES_tradnl"/>
        </w:rPr>
        <w:t>Concentración y centralización intraregión:</w:t>
      </w:r>
    </w:p>
    <w:p w:rsidR="00B41CAA" w:rsidRPr="00224ADE" w:rsidRDefault="00B41CAA" w:rsidP="00B41CAA">
      <w:pPr>
        <w:jc w:val="both"/>
        <w:rPr>
          <w:lang w:val="es-ES_tradnl"/>
        </w:rPr>
      </w:pPr>
      <w:r w:rsidRPr="00224ADE">
        <w:rPr>
          <w:lang w:val="es-ES_tradnl"/>
        </w:rPr>
        <w:t xml:space="preserve">Ahora veremos la distribución de cada región del Ecuador, cabe recalcar que en las provincias </w:t>
      </w:r>
      <w:r w:rsidRPr="00224ADE">
        <w:rPr>
          <w:i/>
          <w:lang w:val="es-ES_tradnl"/>
        </w:rPr>
        <w:t>polos</w:t>
      </w:r>
      <w:r w:rsidRPr="00224ADE">
        <w:rPr>
          <w:lang w:val="es-ES_tradnl"/>
        </w:rPr>
        <w:t xml:space="preserve"> no solo se concentra la mayor oferta, sino la mayor diversificación y tecnificación a la vez; lo que hace aún mayores los efectos de problemática en salud de las otras provincias en especial por el factor de movilización hacia estos centros.</w:t>
      </w:r>
    </w:p>
    <w:p w:rsidR="00B41CAA" w:rsidRPr="00224ADE" w:rsidRDefault="00B41CAA" w:rsidP="00B41CAA">
      <w:pPr>
        <w:jc w:val="both"/>
        <w:rPr>
          <w:lang w:val="es-ES_tradnl"/>
        </w:rPr>
      </w:pPr>
      <w:r w:rsidRPr="00224ADE">
        <w:rPr>
          <w:lang w:val="es-ES_tradnl"/>
        </w:rPr>
        <w:t xml:space="preserve">La única </w:t>
      </w:r>
      <w:r w:rsidRPr="00224ADE">
        <w:rPr>
          <w:i/>
          <w:lang w:val="es-ES_tradnl"/>
        </w:rPr>
        <w:t>región</w:t>
      </w:r>
      <w:r w:rsidRPr="00224ADE">
        <w:rPr>
          <w:rStyle w:val="Refdenotaalpie"/>
          <w:i/>
          <w:lang w:val="es-ES_tradnl"/>
        </w:rPr>
        <w:footnoteReference w:id="8"/>
      </w:r>
      <w:r w:rsidRPr="00224ADE">
        <w:rPr>
          <w:lang w:val="es-ES_tradnl"/>
        </w:rPr>
        <w:t xml:space="preserve"> con una distribución mayoritariamente equitativa es la conformada por las regiones de Oriente, Galápagos y </w:t>
      </w:r>
      <w:r w:rsidRPr="00224ADE">
        <w:rPr>
          <w:i/>
          <w:lang w:val="es-ES_tradnl"/>
        </w:rPr>
        <w:t>Zonas no Delimitadas</w:t>
      </w:r>
      <w:r w:rsidRPr="00224ADE">
        <w:rPr>
          <w:lang w:val="es-ES_tradnl"/>
        </w:rPr>
        <w:t xml:space="preserve">. </w:t>
      </w:r>
    </w:p>
    <w:p w:rsidR="00B41CAA" w:rsidRPr="00224ADE" w:rsidRDefault="00B41CAA" w:rsidP="00B41CAA">
      <w:pPr>
        <w:jc w:val="both"/>
        <w:rPr>
          <w:lang w:val="es-ES_tradnl"/>
        </w:rPr>
      </w:pPr>
      <w:r w:rsidRPr="00224ADE">
        <w:rPr>
          <w:noProof/>
          <w:lang w:val="es-EC" w:eastAsia="es-EC"/>
        </w:rPr>
        <w:drawing>
          <wp:inline distT="0" distB="0" distL="0" distR="0">
            <wp:extent cx="5715000" cy="2600325"/>
            <wp:effectExtent l="0" t="0" r="0" b="95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600325"/>
                    </a:xfrm>
                    <a:prstGeom prst="rect">
                      <a:avLst/>
                    </a:prstGeom>
                    <a:noFill/>
                    <a:ln>
                      <a:noFill/>
                    </a:ln>
                  </pic:spPr>
                </pic:pic>
              </a:graphicData>
            </a:graphic>
          </wp:inline>
        </w:drawing>
      </w:r>
    </w:p>
    <w:p w:rsidR="00B41CAA" w:rsidRPr="00224ADE" w:rsidRDefault="00B41CAA" w:rsidP="00B41CAA">
      <w:pPr>
        <w:jc w:val="both"/>
      </w:pPr>
      <w:r w:rsidRPr="00224ADE">
        <w:rPr>
          <w:lang w:val="es-ES_tradnl"/>
        </w:rPr>
        <w:t>Mientras que la mayor concentración de establecimientos de salud se da en la Costa, con Guayas a la cabeza con el 55% de la oferta de salud.</w:t>
      </w:r>
    </w:p>
    <w:p w:rsidR="00B41CAA" w:rsidRPr="00224ADE" w:rsidRDefault="00B41CAA" w:rsidP="00B41CAA">
      <w:pPr>
        <w:jc w:val="both"/>
      </w:pPr>
      <w:r w:rsidRPr="00224ADE">
        <w:rPr>
          <w:noProof/>
          <w:lang w:val="es-EC" w:eastAsia="es-EC"/>
        </w:rPr>
        <w:drawing>
          <wp:inline distT="0" distB="0" distL="0" distR="0">
            <wp:extent cx="5715000" cy="260032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2600325"/>
                    </a:xfrm>
                    <a:prstGeom prst="rect">
                      <a:avLst/>
                    </a:prstGeom>
                    <a:noFill/>
                    <a:ln>
                      <a:noFill/>
                    </a:ln>
                  </pic:spPr>
                </pic:pic>
              </a:graphicData>
            </a:graphic>
          </wp:inline>
        </w:drawing>
      </w:r>
    </w:p>
    <w:p w:rsidR="00B41CAA" w:rsidRPr="00224ADE" w:rsidRDefault="00B41CAA" w:rsidP="00B41CAA">
      <w:pPr>
        <w:jc w:val="both"/>
      </w:pPr>
      <w:r w:rsidRPr="00224ADE">
        <w:rPr>
          <w:lang w:val="es-ES_tradnl"/>
        </w:rPr>
        <w:t>En la región Sierra Pichincha tiene el 44% del total de establecimientos de salud, seguido de Azuay con el 18% y el resto de provincias.</w:t>
      </w: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5731510" cy="2452511"/>
            <wp:effectExtent l="0" t="0" r="2540" b="508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452511"/>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rPr>
          <w:lang w:val="es-ES_tradnl"/>
        </w:rPr>
      </w:pPr>
      <w:r w:rsidRPr="00224ADE">
        <w:rPr>
          <w:lang w:val="es-ES_tradnl"/>
        </w:rPr>
        <w:br w:type="page"/>
      </w:r>
    </w:p>
    <w:p w:rsidR="00B41CAA" w:rsidRPr="00224ADE" w:rsidRDefault="00B41CAA" w:rsidP="00B41CAA">
      <w:pPr>
        <w:pStyle w:val="Ttulo1"/>
        <w:rPr>
          <w:rFonts w:ascii="Times New Roman" w:hAnsi="Times New Roman"/>
          <w:lang w:val="es-ES_tradnl"/>
        </w:rPr>
      </w:pPr>
      <w:r w:rsidRPr="00224ADE">
        <w:rPr>
          <w:rFonts w:ascii="Times New Roman" w:hAnsi="Times New Roman"/>
          <w:lang w:val="es-ES_tradnl"/>
        </w:rPr>
        <w:t>Habitantes por establecimientos de salud:</w:t>
      </w:r>
    </w:p>
    <w:p w:rsidR="00B41CAA" w:rsidRPr="00224ADE" w:rsidRDefault="00B41CAA" w:rsidP="00B41CAA">
      <w:pPr>
        <w:jc w:val="both"/>
        <w:rPr>
          <w:lang w:val="es-ES_tradnl"/>
        </w:rPr>
      </w:pPr>
      <w:r w:rsidRPr="00224ADE">
        <w:rPr>
          <w:lang w:val="es-ES_tradnl"/>
        </w:rPr>
        <w:t>El siguiente gráfico nos muestra cuantos habitantes existen por cada establecimiento de salud por provincia, es un dato importante especialmente cuando hablamos de riesgos de desastres de gran magnitud y la capacidad de atención de salud a las personas que habitan en cada provincia. La perspectiva no nos muestra un patrón determinado por región, ni por polos económicos, aunque  2 de ellos se encuentran entre los tres mejores abastecidos de establecimientos de servicio de salud.</w:t>
      </w:r>
    </w:p>
    <w:p w:rsidR="00B41CAA" w:rsidRPr="00224ADE" w:rsidRDefault="00B41CAA" w:rsidP="00B41CAA">
      <w:pPr>
        <w:jc w:val="both"/>
        <w:rPr>
          <w:rFonts w:eastAsia="Arial Unicode MS" w:cs="Arial Unicode MS"/>
        </w:rPr>
      </w:pPr>
      <w:r w:rsidRPr="00224ADE">
        <w:rPr>
          <w:noProof/>
          <w:lang w:val="es-EC" w:eastAsia="es-EC"/>
        </w:rPr>
        <w:drawing>
          <wp:inline distT="0" distB="0" distL="0" distR="0">
            <wp:extent cx="5734050" cy="3102378"/>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4050" cy="3102378"/>
                    </a:xfrm>
                    <a:prstGeom prst="rect">
                      <a:avLst/>
                    </a:prstGeom>
                    <a:noFill/>
                    <a:ln>
                      <a:noFill/>
                    </a:ln>
                  </pic:spPr>
                </pic:pic>
              </a:graphicData>
            </a:graphic>
          </wp:inline>
        </w:drawing>
      </w: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r w:rsidRPr="00224ADE">
        <w:rPr>
          <w:rFonts w:eastAsia="Arial Unicode MS" w:cstheme="minorHAnsi"/>
        </w:rPr>
        <w:br w:type="page"/>
      </w:r>
    </w:p>
    <w:p w:rsidR="00B41CAA" w:rsidRPr="00224ADE" w:rsidRDefault="00B41CAA" w:rsidP="00B41CAA">
      <w:pPr>
        <w:pStyle w:val="Ttulo1"/>
        <w:rPr>
          <w:rFonts w:ascii="Times New Roman" w:eastAsia="Arial Unicode MS" w:hAnsi="Times New Roman"/>
        </w:rPr>
      </w:pPr>
      <w:r w:rsidRPr="00224ADE">
        <w:rPr>
          <w:rFonts w:ascii="Times New Roman" w:eastAsia="Arial Unicode MS" w:hAnsi="Times New Roman"/>
        </w:rPr>
        <w:t>Habitantes por Establecimiento de Salud Pública:</w:t>
      </w:r>
    </w:p>
    <w:p w:rsidR="00B41CAA" w:rsidRPr="00224ADE" w:rsidRDefault="00B41CAA" w:rsidP="00B41CAA">
      <w:pPr>
        <w:jc w:val="both"/>
        <w:rPr>
          <w:rFonts w:eastAsia="Arial Unicode MS" w:cstheme="minorHAnsi"/>
        </w:rPr>
      </w:pPr>
      <w:r w:rsidRPr="00224ADE">
        <w:rPr>
          <w:rFonts w:eastAsia="Arial Unicode MS" w:cstheme="minorHAnsi"/>
        </w:rPr>
        <w:t xml:space="preserve">A continuación veremos por establecimiento de salud </w:t>
      </w:r>
      <w:r w:rsidRPr="00224ADE">
        <w:rPr>
          <w:rFonts w:eastAsia="Arial Unicode MS" w:cstheme="minorHAnsi"/>
          <w:u w:val="single"/>
        </w:rPr>
        <w:t>público</w:t>
      </w:r>
      <w:r w:rsidRPr="00224ADE">
        <w:rPr>
          <w:rFonts w:eastAsia="Arial Unicode MS" w:cstheme="minorHAnsi"/>
        </w:rPr>
        <w:t xml:space="preserve"> cuantos habitantes hay, por provincia al 2009. Fácilmente nos daremos cuenta que las provincias donde existían antes menor cantidad de habitantes por establecimiento, están considerablemente atrás en cuanto a habitantes por establecimiento de salud pública. Por ejemplo Azuay, quién en Establecimientos de Servicios de Salud (en general) tenía mayor cantidad de establecimientos por habitante, ahora ocupa el lugar 10, Tungurahua antes 2 y ahora 12, Pichincha antes la posición 3 y ahora la 22. Lo cual nos muestra que en estas provincias donde existe mayor oferta de salud por habitante, es el sector privado el sector predominantemente fuerte, con la excepción de Galápagos que en habitantes por establecimiento de salud se encuentra 4° y en habitantes por establecimiento de salud pública se encuentra 1°. La restante provincia polo, Guayas, se encuentra antes 10° y ahora 21°, es considerablemente una provincia con oferta de salud privada.</w:t>
      </w:r>
    </w:p>
    <w:p w:rsidR="00B41CAA" w:rsidRPr="00224ADE" w:rsidRDefault="00B41CAA" w:rsidP="00B41CAA">
      <w:pPr>
        <w:jc w:val="both"/>
        <w:rPr>
          <w:rFonts w:eastAsia="Arial Unicode MS" w:cstheme="minorHAnsi"/>
        </w:rPr>
      </w:pPr>
      <w:r w:rsidRPr="00224ADE">
        <w:rPr>
          <w:noProof/>
          <w:lang w:val="es-EC" w:eastAsia="es-EC"/>
        </w:rPr>
        <w:drawing>
          <wp:inline distT="0" distB="0" distL="0" distR="0">
            <wp:extent cx="5731510" cy="3046249"/>
            <wp:effectExtent l="0" t="0" r="254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3046249"/>
                    </a:xfrm>
                    <a:prstGeom prst="rect">
                      <a:avLst/>
                    </a:prstGeom>
                    <a:noFill/>
                    <a:ln>
                      <a:noFill/>
                    </a:ln>
                  </pic:spPr>
                </pic:pic>
              </a:graphicData>
            </a:graphic>
          </wp:inline>
        </w:drawing>
      </w:r>
      <w:r w:rsidRPr="00224ADE">
        <w:rPr>
          <w:rFonts w:eastAsia="Arial Unicode MS" w:cstheme="minorHAnsi"/>
        </w:rPr>
        <w:br w:type="page"/>
      </w:r>
    </w:p>
    <w:p w:rsidR="00B41CAA" w:rsidRPr="00224ADE" w:rsidRDefault="00B41CAA" w:rsidP="00B41CAA">
      <w:pPr>
        <w:pStyle w:val="Ttulo1"/>
        <w:rPr>
          <w:rFonts w:ascii="Times New Roman" w:eastAsia="Arial Unicode MS" w:hAnsi="Times New Roman"/>
        </w:rPr>
      </w:pPr>
      <w:r w:rsidRPr="00224ADE">
        <w:rPr>
          <w:rFonts w:ascii="Times New Roman" w:eastAsia="Arial Unicode MS" w:hAnsi="Times New Roman"/>
        </w:rPr>
        <w:t>Atención y Redistribución de Oferta de Salud Pública por provincia:</w:t>
      </w:r>
    </w:p>
    <w:p w:rsidR="00B41CAA" w:rsidRPr="00224ADE" w:rsidRDefault="00B41CAA" w:rsidP="00B41CAA">
      <w:pPr>
        <w:jc w:val="both"/>
        <w:rPr>
          <w:rFonts w:eastAsia="Arial Unicode MS" w:cstheme="minorHAnsi"/>
        </w:rPr>
      </w:pPr>
      <w:r w:rsidRPr="00224ADE">
        <w:rPr>
          <w:rFonts w:eastAsia="Arial Unicode MS" w:cstheme="minorHAnsi"/>
        </w:rPr>
        <w:t>A continuación haremos una relación por provincia en extremo sencilla entre la cantidad de habitantes por establecimiento de salud pública y el total del gasto en salud por el MSP (Ministerio de Salud Pública) per cápita por provincia</w:t>
      </w:r>
      <w:r w:rsidRPr="00224ADE">
        <w:rPr>
          <w:rStyle w:val="Refdenotaalpie"/>
          <w:rFonts w:eastAsia="Arial Unicode MS" w:cstheme="minorHAnsi"/>
        </w:rPr>
        <w:footnoteReference w:id="9"/>
      </w:r>
      <w:r w:rsidRPr="00224ADE">
        <w:rPr>
          <w:rFonts w:eastAsia="Arial Unicode MS" w:cstheme="minorHAnsi"/>
        </w:rPr>
        <w:t>. Esto nos dará una pequeña noción de búsqueda de redistribución por parte del estado relativamente entre provincias. Lo haremos mediante un método sencillo de posición, que explicamos a continuación:</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Existen 25 provincias, en las cuales incluimos las</w:t>
      </w:r>
      <w:r w:rsidRPr="00224ADE">
        <w:rPr>
          <w:rFonts w:ascii="Times New Roman" w:eastAsia="Arial Unicode MS" w:hAnsi="Times New Roman" w:cstheme="minorHAnsi"/>
          <w:i/>
        </w:rPr>
        <w:t xml:space="preserve"> Zonas no delimitadas</w:t>
      </w:r>
      <w:r w:rsidRPr="00224ADE">
        <w:rPr>
          <w:rFonts w:ascii="Times New Roman" w:eastAsia="Arial Unicode MS" w:hAnsi="Times New Roman" w:cstheme="minorHAnsi"/>
        </w:rPr>
        <w:t>.</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 xml:space="preserve">En relación al número de </w:t>
      </w:r>
      <w:r w:rsidRPr="00224ADE">
        <w:rPr>
          <w:rFonts w:ascii="Times New Roman" w:eastAsia="Arial Unicode MS" w:hAnsi="Times New Roman" w:cstheme="minorHAnsi"/>
          <w:u w:val="single"/>
        </w:rPr>
        <w:t>Habitantes por Establecimiento de Salud Pública</w:t>
      </w:r>
      <w:r w:rsidRPr="00224ADE">
        <w:rPr>
          <w:rFonts w:ascii="Times New Roman" w:eastAsia="Arial Unicode MS" w:hAnsi="Times New Roman" w:cstheme="minorHAnsi"/>
        </w:rPr>
        <w:t>, la mejor provincia será la que menor cantidad de habitantes por establecimiento tenga, es decir, la provincia con mayor oferta de salud, a la cual se le asignará el número 1 como referencia. El caso opuesto (peor de los casos) tendrá como número referencial el 25, que significa la provincia con mayor cantidad de habitantes por establecimiento.</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 xml:space="preserve">En relación al </w:t>
      </w:r>
      <w:r w:rsidRPr="00224ADE">
        <w:rPr>
          <w:rFonts w:ascii="Times New Roman" w:eastAsia="Arial Unicode MS" w:hAnsi="Times New Roman" w:cstheme="minorHAnsi"/>
          <w:u w:val="single"/>
        </w:rPr>
        <w:t>Gasto en Salud per Cápita</w:t>
      </w:r>
      <w:r w:rsidRPr="00224ADE">
        <w:rPr>
          <w:rFonts w:ascii="Times New Roman" w:eastAsia="Arial Unicode MS" w:hAnsi="Times New Roman" w:cstheme="minorHAnsi"/>
        </w:rPr>
        <w:t>, la provincia peor posicionada tendrá como número de referencia  el 1, debido a que será la provincia con menos gasto por habitante del Ecuador. El caso contrario, es decir, la provincia con mejor gasto per cápita se le asignará el número 25.</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El resultado óptimo de redistribución será, que a la provincia que tiene la menor oferta de salud por habitante tenga el mayor gasto per cápita y viceversa. Lo cual en suma de sus posiciones nos dará 26 como óptimo para todos los casos. Mientras más alejado del 26 se encuentre el coeficiente de cada provincia, nos mostrará un grado menor de redistribución.</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26 es el coeficiente de óptima redistribución relativa por provincia, lo que quiere decir que en relación al resto de provincias es adecuadamente atendida.</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 xml:space="preserve">50 es el coeficiente de </w:t>
      </w:r>
      <w:r w:rsidRPr="00224ADE">
        <w:rPr>
          <w:rFonts w:ascii="Times New Roman" w:eastAsia="Arial Unicode MS" w:hAnsi="Times New Roman" w:cstheme="minorHAnsi"/>
          <w:i/>
        </w:rPr>
        <w:t>mala redistribución relativa</w:t>
      </w:r>
      <w:r w:rsidRPr="00224ADE">
        <w:rPr>
          <w:rFonts w:ascii="Times New Roman" w:eastAsia="Arial Unicode MS" w:hAnsi="Times New Roman" w:cstheme="minorHAnsi"/>
        </w:rPr>
        <w:t xml:space="preserve"> entre provincias, nos mostrará que la provincia con menor oferta de salud pública a la vez es la provincia de menor atención dentro del gasto público.</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 xml:space="preserve">2 es el coeficiente de </w:t>
      </w:r>
      <w:r w:rsidRPr="00224ADE">
        <w:rPr>
          <w:rFonts w:ascii="Times New Roman" w:eastAsia="Arial Unicode MS" w:hAnsi="Times New Roman" w:cstheme="minorHAnsi"/>
          <w:i/>
        </w:rPr>
        <w:t>positiva redistribución relativa</w:t>
      </w:r>
      <w:r w:rsidRPr="00224ADE">
        <w:rPr>
          <w:rFonts w:ascii="Times New Roman" w:eastAsia="Arial Unicode MS" w:hAnsi="Times New Roman" w:cstheme="minorHAnsi"/>
        </w:rPr>
        <w:t>, es decir, la provincia que relativamente al resto tiene una mayor intervención de gasto estatal de la que debería.</w:t>
      </w:r>
    </w:p>
    <w:p w:rsidR="00B41CAA" w:rsidRPr="00224ADE" w:rsidRDefault="00B41CAA" w:rsidP="00B41CAA">
      <w:pPr>
        <w:pStyle w:val="Prrafodelista"/>
        <w:widowControl/>
        <w:numPr>
          <w:ilvl w:val="0"/>
          <w:numId w:val="17"/>
        </w:numPr>
        <w:spacing w:line="276" w:lineRule="auto"/>
        <w:contextualSpacing/>
        <w:jc w:val="both"/>
        <w:rPr>
          <w:rFonts w:ascii="Times New Roman" w:eastAsia="Arial Unicode MS" w:hAnsi="Times New Roman" w:cstheme="minorHAnsi"/>
        </w:rPr>
      </w:pPr>
      <w:r w:rsidRPr="00224ADE">
        <w:rPr>
          <w:rFonts w:ascii="Times New Roman" w:eastAsia="Arial Unicode MS" w:hAnsi="Times New Roman" w:cstheme="minorHAnsi"/>
        </w:rPr>
        <w:t>Por supuesto, que al momento de existir una provincia de tipo de menor redistribución, tiene que existir una de redistribución exagerada.</w:t>
      </w: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r w:rsidRPr="00224ADE">
        <w:rPr>
          <w:rFonts w:eastAsia="Arial Unicode MS" w:cstheme="minorHAnsi"/>
        </w:rPr>
        <w:t xml:space="preserve"> En el cuadro a continuación tenemos una demostración de las formas de redistribución que pueden ser, teniendo los cercanos a 26 con color verde, como los mejores redistribuidos luego quienes se alejan medianamente de este, de color amarillento, y finalmente los lejanos a 26 de color rojo:</w:t>
      </w: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r w:rsidRPr="00224ADE">
        <w:rPr>
          <w:noProof/>
          <w:lang w:val="es-EC" w:eastAsia="es-EC"/>
        </w:rPr>
        <w:drawing>
          <wp:anchor distT="0" distB="0" distL="114300" distR="114300" simplePos="0" relativeHeight="251661312" behindDoc="0" locked="0" layoutInCell="1" allowOverlap="1">
            <wp:simplePos x="0" y="0"/>
            <wp:positionH relativeFrom="column">
              <wp:posOffset>-276225</wp:posOffset>
            </wp:positionH>
            <wp:positionV relativeFrom="paragraph">
              <wp:posOffset>20955</wp:posOffset>
            </wp:positionV>
            <wp:extent cx="6322695" cy="274955"/>
            <wp:effectExtent l="0" t="0" r="1905"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2695" cy="274955"/>
                    </a:xfrm>
                    <a:prstGeom prst="rect">
                      <a:avLst/>
                    </a:prstGeom>
                    <a:noFill/>
                    <a:ln>
                      <a:noFill/>
                    </a:ln>
                  </pic:spPr>
                </pic:pic>
              </a:graphicData>
            </a:graphic>
          </wp:anchor>
        </w:drawing>
      </w: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r w:rsidRPr="00224ADE">
        <w:rPr>
          <w:noProof/>
          <w:lang w:val="es-EC" w:eastAsia="es-EC"/>
        </w:rPr>
        <w:drawing>
          <wp:inline distT="0" distB="0" distL="0" distR="0">
            <wp:extent cx="5020574" cy="5461580"/>
            <wp:effectExtent l="0" t="0" r="8890" b="63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20574" cy="5461580"/>
                    </a:xfrm>
                    <a:prstGeom prst="rect">
                      <a:avLst/>
                    </a:prstGeom>
                    <a:noFill/>
                    <a:ln>
                      <a:noFill/>
                    </a:ln>
                  </pic:spPr>
                </pic:pic>
              </a:graphicData>
            </a:graphic>
          </wp:inline>
        </w:drawing>
      </w:r>
    </w:p>
    <w:p w:rsidR="00B41CAA" w:rsidRPr="00224ADE" w:rsidRDefault="00B41CAA" w:rsidP="00B41CAA">
      <w:pPr>
        <w:jc w:val="both"/>
        <w:rPr>
          <w:rFonts w:eastAsia="Arial Unicode MS" w:cstheme="minorHAnsi"/>
        </w:rPr>
      </w:pPr>
    </w:p>
    <w:p w:rsidR="00B41CAA" w:rsidRPr="00224ADE" w:rsidRDefault="00B41CAA" w:rsidP="00B41CAA">
      <w:pPr>
        <w:jc w:val="both"/>
        <w:rPr>
          <w:rFonts w:eastAsia="Arial Unicode MS" w:cstheme="minorHAnsi"/>
        </w:rPr>
      </w:pPr>
      <w:r w:rsidRPr="00224ADE">
        <w:rPr>
          <w:rFonts w:eastAsia="Arial Unicode MS" w:cstheme="minorHAnsi"/>
        </w:rPr>
        <w:t xml:space="preserve">Las provincias de las cuales se debería preocupar más el estado, son justamente las más nuevas, Sto. Domingo de los Tsáchilas y la Península de Santa Elena, que a más de ser del grupo de las 7 provincias que menos establecimientos de salud pública tienen, también son las 2 que menos inversión del MSP reciben directamente; el problema es especialmente grave en Sta. Elena debido a que si regresamos a la tabla de los habitantes por establecimiento de salud, veremos que es la 3ª con menos oferta de salud. La provincia de Cotopaxi es la siguiente </w:t>
      </w:r>
      <w:r w:rsidRPr="00224ADE">
        <w:rPr>
          <w:rFonts w:eastAsia="Arial Unicode MS" w:cstheme="minorHAnsi"/>
          <w:i/>
        </w:rPr>
        <w:t>más afectada</w:t>
      </w:r>
      <w:r w:rsidRPr="00224ADE">
        <w:rPr>
          <w:rFonts w:eastAsia="Arial Unicode MS" w:cstheme="minorHAnsi"/>
        </w:rPr>
        <w:t xml:space="preserve"> de esta situación. De ahí aparece Guayas, la provincia con más ingresos en la salud cabe recalcar, lo cual nos confirma la fuerte tendencia privada que existe en el puerto principal en conjunto con un difícil acceso de salud pública para los sectores más bajos económicamente. Luego tenemos 2 provincias más que medianamente en relación a las demás necesitan mayor focalización: Los Ríos y Manabí, asunto muy serio debido a que en estas dos provincias suman entre las dos 2 145 000 personas aproximadamente (siendo Manabí la tercera provincia más poblada) y en las cuales relativamente deberían recibir más atención del Estado y en cuanto al sector privado tampoco están bien situadas, lo cual nos muestra un panorama de medio bajo en estas dos provincias.</w:t>
      </w:r>
    </w:p>
    <w:p w:rsidR="00B41CAA" w:rsidRPr="00224ADE" w:rsidRDefault="00B41CAA" w:rsidP="00B41CAA">
      <w:pPr>
        <w:jc w:val="both"/>
        <w:rPr>
          <w:rFonts w:eastAsia="Arial Unicode MS" w:cstheme="minorHAnsi"/>
        </w:rPr>
      </w:pPr>
      <w:r w:rsidRPr="00224ADE">
        <w:rPr>
          <w:rFonts w:eastAsia="Arial Unicode MS" w:cstheme="minorHAnsi"/>
        </w:rPr>
        <w:br w:type="page"/>
      </w:r>
    </w:p>
    <w:p w:rsidR="00B41CAA" w:rsidRPr="00224ADE" w:rsidRDefault="00B41CAA" w:rsidP="00B41CAA">
      <w:pPr>
        <w:pStyle w:val="Ttulo1"/>
        <w:rPr>
          <w:rFonts w:ascii="Times New Roman" w:eastAsia="Arial Unicode MS" w:hAnsi="Times New Roman"/>
        </w:rPr>
      </w:pPr>
      <w:r w:rsidRPr="00224ADE">
        <w:rPr>
          <w:rFonts w:ascii="Times New Roman" w:eastAsia="Arial Unicode MS" w:hAnsi="Times New Roman"/>
        </w:rPr>
        <w:t>Evolución de Inicio de Actividades de Establecimientos de Salud</w:t>
      </w:r>
    </w:p>
    <w:p w:rsidR="00B41CAA" w:rsidRPr="00224ADE" w:rsidRDefault="00B41CAA" w:rsidP="00B41CAA">
      <w:pPr>
        <w:jc w:val="both"/>
      </w:pPr>
      <w:r w:rsidRPr="00224ADE">
        <w:t>Este punto es muy impactante, principalmente porque nos damos cuenta de dos cosas, la primera que en 5 años (2006-2010), es el periodo que más inicio de establecimientos de servicios de salud tiene, incluso más que la conformación de todos los años anteriores al 2000; la segunda clave es el periodo 2001-2005, que es muy bajo en cuanto a creación de nuevas empresas de salud, lo cual nos lleva a que si pudiéramos hacer un estudio de antes del año 2000 nos daríamos cuenta que el inicio de actividades por año es sumamente bajo.</w:t>
      </w: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5731510" cy="2871327"/>
            <wp:effectExtent l="0" t="0" r="254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2871327"/>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pPr>
    </w:p>
    <w:p w:rsidR="00B41CAA" w:rsidRPr="00224ADE" w:rsidRDefault="00B41CAA" w:rsidP="00B41CAA">
      <w:pPr>
        <w:jc w:val="both"/>
      </w:pPr>
    </w:p>
    <w:p w:rsidR="00B41CAA" w:rsidRPr="00224ADE" w:rsidRDefault="00B41CAA" w:rsidP="00B41CAA">
      <w:pPr>
        <w:jc w:val="both"/>
      </w:pPr>
      <w:r w:rsidRPr="00224ADE">
        <w:br w:type="page"/>
      </w:r>
    </w:p>
    <w:p w:rsidR="00B41CAA" w:rsidRPr="00224ADE" w:rsidRDefault="00B41CAA" w:rsidP="00B41CAA">
      <w:pPr>
        <w:jc w:val="both"/>
      </w:pPr>
      <w:r w:rsidRPr="00224ADE">
        <w:t>Al analizar los once primeros años del siglo XXI, vemos el aumento, aunque no constante, con una evidente tendencia al crear nuevos espacios de servicio de salud. Los primeros años resultado de la crisis bancaria, algo muy claro, debacle en la cantidad de nuevas instituciones muy manifiesta. Los siguientes años aumenta pronunciadamente desde el 2007 al inicio del nuevo gobierno. Todo esto mientras que los aumentos en inicio de actividades se dan notoriamente con diferencia entre los polos (48% de la población) y el resto del país (52% de la población).</w:t>
      </w:r>
    </w:p>
    <w:p w:rsidR="00B41CAA" w:rsidRPr="00224ADE" w:rsidRDefault="00B41CAA" w:rsidP="00B41CAA">
      <w:pPr>
        <w:jc w:val="both"/>
      </w:pPr>
      <w:r w:rsidRPr="00224ADE">
        <w:rPr>
          <w:noProof/>
          <w:lang w:val="es-EC" w:eastAsia="es-EC"/>
        </w:rPr>
        <w:drawing>
          <wp:inline distT="0" distB="0" distL="0" distR="0">
            <wp:extent cx="5731510" cy="3193052"/>
            <wp:effectExtent l="0" t="0" r="2540" b="762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3193052"/>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pPr>
    </w:p>
    <w:p w:rsidR="00B41CAA" w:rsidRPr="00224ADE" w:rsidRDefault="00B41CAA" w:rsidP="00B41CAA">
      <w:pPr>
        <w:jc w:val="both"/>
      </w:pPr>
    </w:p>
    <w:p w:rsidR="00B41CAA" w:rsidRPr="00224ADE" w:rsidRDefault="00B41CAA" w:rsidP="00B41CAA">
      <w:pPr>
        <w:jc w:val="both"/>
      </w:pPr>
      <w:r w:rsidRPr="00224ADE">
        <w:br w:type="page"/>
      </w:r>
    </w:p>
    <w:p w:rsidR="00B41CAA" w:rsidRPr="00224ADE" w:rsidRDefault="00B41CAA" w:rsidP="00B41CAA">
      <w:pPr>
        <w:jc w:val="both"/>
      </w:pPr>
      <w:r w:rsidRPr="00224ADE">
        <w:t>Uno de los factores preponderantes para la inversión privada del subsector de los servicios de la salud, sin duda es el giro que se le ha dado al gasto público en el sector salud. Reacción casi inmediata, aumentó el gasto público en el sector salud y con el aumentaron los nuevos establecimientos de atención de la salud.</w:t>
      </w:r>
    </w:p>
    <w:p w:rsidR="00B41CAA" w:rsidRPr="00224ADE" w:rsidRDefault="00B41CAA" w:rsidP="00B41CAA">
      <w:pPr>
        <w:jc w:val="both"/>
      </w:pPr>
      <w:r w:rsidRPr="00224ADE">
        <w:rPr>
          <w:noProof/>
          <w:lang w:val="es-EC" w:eastAsia="es-EC"/>
        </w:rPr>
        <w:drawing>
          <wp:inline distT="0" distB="0" distL="0" distR="0">
            <wp:extent cx="5731510" cy="2151195"/>
            <wp:effectExtent l="0" t="0" r="2540" b="190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2151195"/>
                    </a:xfrm>
                    <a:prstGeom prst="rect">
                      <a:avLst/>
                    </a:prstGeom>
                    <a:noFill/>
                    <a:ln>
                      <a:noFill/>
                    </a:ln>
                  </pic:spPr>
                </pic:pic>
              </a:graphicData>
            </a:graphic>
          </wp:inline>
        </w:drawing>
      </w: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Forma de propiedad</w:t>
      </w:r>
    </w:p>
    <w:p w:rsidR="00B41CAA" w:rsidRPr="00224ADE" w:rsidRDefault="00B41CAA" w:rsidP="00B41CAA">
      <w:pPr>
        <w:jc w:val="both"/>
      </w:pPr>
      <w:r w:rsidRPr="00224ADE">
        <w:t>Es muy claro ya, que el sector predominante es el sector privado en lo que a oferta de servicios de salud se refiere. Un nuevo gráfico que muestra esta conclusión: la típica forma de propiedad de un establecimiento de servicios de salud es con el 88% Único.</w:t>
      </w:r>
    </w:p>
    <w:p w:rsidR="00B41CAA" w:rsidRPr="00224ADE" w:rsidRDefault="00B41CAA" w:rsidP="00B41CAA">
      <w:pPr>
        <w:jc w:val="both"/>
      </w:pPr>
      <w:r w:rsidRPr="00224ADE">
        <w:rPr>
          <w:noProof/>
          <w:lang w:val="es-EC" w:eastAsia="es-EC"/>
        </w:rPr>
        <w:drawing>
          <wp:inline distT="0" distB="0" distL="0" distR="0">
            <wp:extent cx="5736566" cy="3352526"/>
            <wp:effectExtent l="0" t="0" r="0" b="635"/>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3349571"/>
                    </a:xfrm>
                    <a:prstGeom prst="rect">
                      <a:avLst/>
                    </a:prstGeom>
                    <a:noFill/>
                    <a:ln>
                      <a:noFill/>
                    </a:ln>
                  </pic:spPr>
                </pic:pic>
              </a:graphicData>
            </a:graphic>
          </wp:inline>
        </w:drawing>
      </w:r>
    </w:p>
    <w:p w:rsidR="00B41CAA" w:rsidRPr="00224ADE" w:rsidRDefault="00B41CAA" w:rsidP="00B41CAA">
      <w:pPr>
        <w:jc w:val="both"/>
      </w:pPr>
      <w:r w:rsidRPr="00224ADE">
        <w:rPr>
          <w:noProof/>
          <w:lang w:val="es-EC" w:eastAsia="es-EC"/>
        </w:rPr>
        <w:drawing>
          <wp:inline distT="0" distB="0" distL="0" distR="0">
            <wp:extent cx="5731510" cy="1164479"/>
            <wp:effectExtent l="0" t="0" r="254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1164479"/>
                    </a:xfrm>
                    <a:prstGeom prst="rect">
                      <a:avLst/>
                    </a:prstGeom>
                    <a:noFill/>
                    <a:ln>
                      <a:noFill/>
                    </a:ln>
                  </pic:spPr>
                </pic:pic>
              </a:graphicData>
            </a:graphic>
          </wp:inline>
        </w:drawing>
      </w:r>
    </w:p>
    <w:p w:rsidR="00B41CAA" w:rsidRPr="00224ADE" w:rsidRDefault="00B41CAA" w:rsidP="00B41CAA">
      <w:pPr>
        <w:jc w:val="both"/>
      </w:pPr>
      <w:r w:rsidRPr="00224ADE">
        <w:br w:type="page"/>
      </w:r>
    </w:p>
    <w:p w:rsidR="00B41CAA" w:rsidRPr="00224ADE" w:rsidRDefault="00B41CAA" w:rsidP="00B41CAA">
      <w:pPr>
        <w:jc w:val="both"/>
      </w:pPr>
      <w:r w:rsidRPr="00224ADE">
        <w:t>Continuando con la forma de propiedad, ahora en el siguiente gráfico mostramos la naturaleza jurídica de las empresas de servicios de salud en el Ecuador al año 2009. Observamos nuevamente la mayoritaria participación del sector privado ante el público, en donde el 83% de los Establecimientos pertenecen a personas naturales, mientras que los dos sectores públicos (Gobierno y Empresa Pública) suman entre los dos el 9% de la participación del mercado.</w:t>
      </w: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5731510" cy="2880498"/>
            <wp:effectExtent l="0" t="0" r="254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2880498"/>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Crédito.</w:t>
      </w:r>
    </w:p>
    <w:p w:rsidR="00B41CAA" w:rsidRPr="00224ADE" w:rsidRDefault="00B41CAA" w:rsidP="00B41CAA">
      <w:pPr>
        <w:jc w:val="both"/>
      </w:pPr>
      <w:r w:rsidRPr="00224ADE">
        <w:t>En lo que se refiere a crédito los polos económicos se llevan la gran parte del pastel, con el 70%, repartido entre el 53% de las empresas que accedieron a crédito; esto implica una doble dinámica de concentración, no solo que se concentra en las provincias polo el monto del financiamiento, sino que se destina a pocas empresas (70% del financiamiento va hacia el 53% de empresas). Esto es un problema debido a que esto es un buen cómplice para que se siga manteniendo las estructuras de concentración y centralización del sector.</w:t>
      </w:r>
    </w:p>
    <w:p w:rsidR="00B41CAA" w:rsidRPr="00224ADE" w:rsidRDefault="00B41CAA" w:rsidP="00B41CAA">
      <w:pPr>
        <w:jc w:val="both"/>
      </w:pPr>
      <w:r w:rsidRPr="00224ADE">
        <w:rPr>
          <w:noProof/>
          <w:lang w:val="es-EC" w:eastAsia="es-EC"/>
        </w:rPr>
        <w:drawing>
          <wp:inline distT="0" distB="0" distL="0" distR="0">
            <wp:extent cx="5038090" cy="2441575"/>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38090" cy="2441575"/>
                    </a:xfrm>
                    <a:prstGeom prst="rect">
                      <a:avLst/>
                    </a:prstGeom>
                    <a:noFill/>
                    <a:ln>
                      <a:noFill/>
                    </a:ln>
                  </pic:spPr>
                </pic:pic>
              </a:graphicData>
            </a:graphic>
          </wp:inline>
        </w:drawing>
      </w:r>
    </w:p>
    <w:p w:rsidR="00B41CAA" w:rsidRPr="00224ADE" w:rsidRDefault="00B41CAA" w:rsidP="00B41CAA">
      <w:pPr>
        <w:jc w:val="both"/>
      </w:pPr>
      <w:r w:rsidRPr="00224ADE">
        <w:rPr>
          <w:noProof/>
          <w:lang w:val="es-EC" w:eastAsia="es-EC"/>
        </w:rPr>
        <w:drawing>
          <wp:inline distT="0" distB="0" distL="0" distR="0">
            <wp:extent cx="5046345" cy="2173605"/>
            <wp:effectExtent l="0" t="0" r="1905"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46345" cy="2173605"/>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pP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Uso de internet</w:t>
      </w:r>
    </w:p>
    <w:p w:rsidR="00B41CAA" w:rsidRPr="00224ADE" w:rsidRDefault="00B41CAA" w:rsidP="00B41CAA">
      <w:pPr>
        <w:jc w:val="both"/>
      </w:pPr>
      <w:r w:rsidRPr="00224ADE">
        <w:t>Los establecimientos de salud, luego de ver la gráfica a continuación, pareciera que no necesitan del uso del internet. La gran mayoría (73%) no utiliza esta herramienta.</w:t>
      </w: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4977130" cy="2630805"/>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77130" cy="2630805"/>
                    </a:xfrm>
                    <a:prstGeom prst="rect">
                      <a:avLst/>
                    </a:prstGeom>
                    <a:noFill/>
                    <a:ln>
                      <a:noFill/>
                    </a:ln>
                  </pic:spPr>
                </pic:pic>
              </a:graphicData>
            </a:graphic>
          </wp:inline>
        </w:drawing>
      </w: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Ingresos</w:t>
      </w:r>
    </w:p>
    <w:p w:rsidR="00B41CAA" w:rsidRPr="00224ADE" w:rsidRDefault="00B41CAA" w:rsidP="00B41CAA">
      <w:pPr>
        <w:jc w:val="both"/>
      </w:pPr>
      <w:r w:rsidRPr="00224ADE">
        <w:t>Esta es quizá la forma más explícita en la cual se muestra la concentración y centralización en los polos económicos. En los ingresos podremos determinar distintos tipos de fenómenos. El primero y más evidente es que el 75% de los ingresos de todo el subsector de los servicios de salud se encuentran en las economías de las provincias de Azuay, Guayas y Pichincha, dejando el restante 25% para las otras 22 provincias. Es decir, se concentra el ingreso en los polos.</w:t>
      </w:r>
    </w:p>
    <w:p w:rsidR="00B41CAA" w:rsidRPr="00224ADE" w:rsidRDefault="00B41CAA" w:rsidP="00B41CAA">
      <w:pPr>
        <w:jc w:val="both"/>
      </w:pPr>
      <w:r w:rsidRPr="00224ADE">
        <w:t>La implicación de esto es multifactorial. Uno de estos factores que podemos desencadenar de esto, es la estructura de precios; hemos visto que las provincias que conforman los polos económicos están entre las que más habitantes por establecimiento de servicios salud pública tienen</w:t>
      </w:r>
      <w:r w:rsidRPr="00224ADE">
        <w:rPr>
          <w:rStyle w:val="Refdenotaalpie"/>
        </w:rPr>
        <w:footnoteReference w:id="10"/>
      </w:r>
      <w:r w:rsidRPr="00224ADE">
        <w:t>, pero son de las primeras en cuanto a menor cantidad de habitantes por establecimientos de servicios de salud</w:t>
      </w:r>
      <w:r w:rsidRPr="00224ADE">
        <w:rPr>
          <w:rStyle w:val="Refdenotaalpie"/>
        </w:rPr>
        <w:footnoteReference w:id="11"/>
      </w:r>
      <w:r w:rsidRPr="00224ADE">
        <w:t>, y luego de haber visto las estructuras típicas de los establecimientos, podemos sacar la siguiente primera conclusión: los establecimientos son privados, en mayor proporción en los polos que en el resto del país, esto les permite alzar precios y percibir mayores ingresos.</w:t>
      </w:r>
    </w:p>
    <w:p w:rsidR="00B41CAA" w:rsidRPr="00224ADE" w:rsidRDefault="00B41CAA" w:rsidP="00B41CAA">
      <w:pPr>
        <w:jc w:val="both"/>
      </w:pPr>
      <w:r w:rsidRPr="00224ADE">
        <w:t>En el momento que se sabe que en los polos se puede percibir más ingresos que en las otras provincias, estos se convierten en focos de centralización de la oferta, y la inversión será en su mayoría allí. Al mover inversión y concentrarse los capitales en estas tres provincias, se mueve a su vez la mano de obra por tres motivos principales, el primero la demanda de mano de obra por parte de las empresas, lo cual nos lleva al segundo motivo, los salarios (gracias a los mayores ingresos) son mayores en los polos en relación al resto de provincias, y luego de esto el tercer impulso es la oportunidad de un “mejor nivel de vida”.</w:t>
      </w:r>
    </w:p>
    <w:p w:rsidR="00B41CAA" w:rsidRPr="00224ADE" w:rsidRDefault="00B41CAA" w:rsidP="00B41CAA">
      <w:pPr>
        <w:jc w:val="both"/>
      </w:pPr>
      <w:r w:rsidRPr="00224ADE">
        <w:t>Para poder contrarrestar esto, el gasto del estado es extremadamente necesario, para abastecer las necesidades de salud del resto de provincias y entregar salarios que permitan que los profesionales de la salud proporcionen el servicio necesario.</w:t>
      </w: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5731510" cy="2145774"/>
            <wp:effectExtent l="0" t="0" r="2540" b="6985"/>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145774"/>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Curva de Lorenz y Coeficiente de Gini:</w:t>
      </w:r>
    </w:p>
    <w:p w:rsidR="00B41CAA" w:rsidRPr="00224ADE" w:rsidRDefault="00B41CAA" w:rsidP="00B41CAA">
      <w:pPr>
        <w:jc w:val="both"/>
      </w:pPr>
      <w:r w:rsidRPr="00224ADE">
        <w:t>Uno de los mecanismos más conocidos para reconocer niveles de concentración es el coeficiente de gini y la curva de Lorenz.</w:t>
      </w:r>
    </w:p>
    <w:p w:rsidR="00B41CAA" w:rsidRPr="00224ADE" w:rsidRDefault="00B41CAA" w:rsidP="00B41CAA">
      <w:pPr>
        <w:jc w:val="both"/>
      </w:pPr>
      <w:r w:rsidRPr="00224ADE">
        <w:t>La curva de Lorenz con la que empezaremos, nos mostrará la diferencia entre las distintas provincias, tomándolas a todas ellas con la misma ponderación. La línea azul del gráfico nos muestra la perfecta distribución, es decir, al 10% de provincias le corresponde el 10% del ingreso al 20% de igual forma, y así sucesivamente. La línea roja es la línea que nos dará la noción manifiesta de inequidad, en otras palabras es la curva real.</w:t>
      </w:r>
    </w:p>
    <w:p w:rsidR="00B41CAA" w:rsidRPr="00224ADE" w:rsidRDefault="00B41CAA" w:rsidP="00B41CAA">
      <w:pPr>
        <w:jc w:val="both"/>
      </w:pPr>
      <w:r w:rsidRPr="00224ADE">
        <w:t>La distribución de provincias por número es la siguiente:</w:t>
      </w:r>
    </w:p>
    <w:tbl>
      <w:tblPr>
        <w:tblStyle w:val="Tablaconcuadrcula"/>
        <w:tblW w:w="7233" w:type="dxa"/>
        <w:tblInd w:w="899" w:type="dxa"/>
        <w:tblLook w:val="04A0" w:firstRow="1" w:lastRow="0" w:firstColumn="1" w:lastColumn="0" w:noHBand="0" w:noVBand="1"/>
      </w:tblPr>
      <w:tblGrid>
        <w:gridCol w:w="1488"/>
        <w:gridCol w:w="2440"/>
        <w:gridCol w:w="222"/>
        <w:gridCol w:w="1488"/>
        <w:gridCol w:w="2074"/>
      </w:tblGrid>
      <w:tr w:rsidR="00B41CAA" w:rsidRPr="00224ADE">
        <w:trPr>
          <w:trHeight w:val="237"/>
        </w:trPr>
        <w:tc>
          <w:tcPr>
            <w:tcW w:w="1249" w:type="dxa"/>
            <w:noWrap/>
          </w:tcPr>
          <w:p w:rsidR="00B41CAA" w:rsidRPr="00224ADE" w:rsidRDefault="00B41CAA" w:rsidP="00B41CAA">
            <w:pPr>
              <w:jc w:val="both"/>
              <w:rPr>
                <w:rFonts w:ascii="Times New Roman" w:hAnsi="Times New Roman"/>
                <w:b/>
                <w:bCs/>
              </w:rPr>
            </w:pPr>
            <w:r w:rsidRPr="00224ADE">
              <w:rPr>
                <w:rFonts w:ascii="Times New Roman" w:hAnsi="Times New Roman"/>
                <w:b/>
                <w:bCs/>
              </w:rPr>
              <w:t>PROVINCIA</w:t>
            </w:r>
          </w:p>
        </w:tc>
        <w:tc>
          <w:tcPr>
            <w:tcW w:w="2440" w:type="dxa"/>
            <w:noWrap/>
          </w:tcPr>
          <w:p w:rsidR="00B41CAA" w:rsidRPr="00224ADE" w:rsidRDefault="00B41CAA" w:rsidP="00B41CAA">
            <w:pPr>
              <w:jc w:val="both"/>
              <w:rPr>
                <w:rFonts w:ascii="Times New Roman" w:hAnsi="Times New Roman"/>
                <w:b/>
                <w:bCs/>
              </w:rPr>
            </w:pPr>
            <w:r w:rsidRPr="00224ADE">
              <w:rPr>
                <w:rFonts w:ascii="Times New Roman" w:hAnsi="Times New Roman"/>
                <w:b/>
                <w:bCs/>
              </w:rPr>
              <w:t>REGION/Provincia</w:t>
            </w:r>
          </w:p>
        </w:tc>
        <w:tc>
          <w:tcPr>
            <w:tcW w:w="388" w:type="dxa"/>
            <w:vMerge w:val="restart"/>
          </w:tcPr>
          <w:p w:rsidR="00B41CAA" w:rsidRPr="00224ADE" w:rsidRDefault="00B41CAA" w:rsidP="00B41CAA">
            <w:pPr>
              <w:jc w:val="both"/>
              <w:rPr>
                <w:rFonts w:ascii="Times New Roman" w:hAnsi="Times New Roman"/>
                <w:b/>
                <w:bCs/>
              </w:rPr>
            </w:pPr>
          </w:p>
        </w:tc>
        <w:tc>
          <w:tcPr>
            <w:tcW w:w="1277" w:type="dxa"/>
          </w:tcPr>
          <w:p w:rsidR="00B41CAA" w:rsidRPr="00224ADE" w:rsidRDefault="00B41CAA" w:rsidP="00B41CAA">
            <w:pPr>
              <w:jc w:val="both"/>
              <w:rPr>
                <w:rFonts w:ascii="Times New Roman" w:hAnsi="Times New Roman"/>
                <w:b/>
                <w:bCs/>
              </w:rPr>
            </w:pPr>
            <w:r w:rsidRPr="00224ADE">
              <w:rPr>
                <w:rFonts w:ascii="Times New Roman" w:hAnsi="Times New Roman"/>
                <w:b/>
                <w:bCs/>
              </w:rPr>
              <w:t>PROVINCIA</w:t>
            </w:r>
          </w:p>
        </w:tc>
        <w:tc>
          <w:tcPr>
            <w:tcW w:w="1879" w:type="dxa"/>
          </w:tcPr>
          <w:p w:rsidR="00B41CAA" w:rsidRPr="00224ADE" w:rsidRDefault="00B41CAA" w:rsidP="00B41CAA">
            <w:pPr>
              <w:jc w:val="both"/>
              <w:rPr>
                <w:rFonts w:ascii="Times New Roman" w:hAnsi="Times New Roman"/>
                <w:b/>
                <w:bCs/>
              </w:rPr>
            </w:pPr>
            <w:r w:rsidRPr="00224ADE">
              <w:rPr>
                <w:rFonts w:ascii="Times New Roman" w:hAnsi="Times New Roman"/>
                <w:b/>
                <w:bCs/>
              </w:rPr>
              <w:t>REGION/Provincia</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1</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ZONAS NO DELIMITADAS</w:t>
            </w:r>
          </w:p>
        </w:tc>
        <w:tc>
          <w:tcPr>
            <w:tcW w:w="388" w:type="dxa"/>
            <w:vMerge/>
          </w:tcPr>
          <w:p w:rsidR="00B41CAA" w:rsidRPr="00224ADE" w:rsidRDefault="00B41CAA" w:rsidP="00B41CAA">
            <w:pPr>
              <w:jc w:val="both"/>
              <w:rPr>
                <w:rFonts w:ascii="Times New Roman" w:hAnsi="Times New Roman"/>
                <w:sz w:val="20"/>
              </w:rPr>
            </w:pPr>
          </w:p>
        </w:tc>
        <w:tc>
          <w:tcPr>
            <w:tcW w:w="3156" w:type="dxa"/>
            <w:gridSpan w:val="2"/>
          </w:tcPr>
          <w:p w:rsidR="00B41CAA" w:rsidRPr="00224ADE" w:rsidRDefault="00B41CAA" w:rsidP="00B41CAA">
            <w:pPr>
              <w:jc w:val="both"/>
              <w:rPr>
                <w:rFonts w:ascii="Times New Roman" w:hAnsi="Times New Roman"/>
                <w:sz w:val="20"/>
              </w:rPr>
            </w:pP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2</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GALAPAGOS</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14</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Esmeraldas</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3</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Napo</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15</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Imbabura</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4</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Zamora Chinchipe</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16</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Santa Elena</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5</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Orellana</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17</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Santo Domingo</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6</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Pastaza</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18</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Loja</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7</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Morona Santiago</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19</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Tungurahua</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8</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Sucumbios</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20</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Chimborazo</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9</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Carchi</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21</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El Oro</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10</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Bolivar</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22</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Manabí</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11</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Cotopaxi</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23</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Azuay</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12</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Cañar</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24</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Pichincha</w:t>
            </w:r>
          </w:p>
        </w:tc>
      </w:tr>
      <w:tr w:rsidR="00B41CAA" w:rsidRPr="00224ADE">
        <w:trPr>
          <w:trHeight w:val="255"/>
        </w:trPr>
        <w:tc>
          <w:tcPr>
            <w:tcW w:w="1249" w:type="dxa"/>
            <w:noWrap/>
          </w:tcPr>
          <w:p w:rsidR="00B41CAA" w:rsidRPr="00224ADE" w:rsidRDefault="00B41CAA" w:rsidP="00B41CAA">
            <w:pPr>
              <w:jc w:val="both"/>
              <w:rPr>
                <w:rFonts w:ascii="Times New Roman" w:hAnsi="Times New Roman"/>
                <w:b/>
                <w:sz w:val="20"/>
              </w:rPr>
            </w:pPr>
            <w:r w:rsidRPr="00224ADE">
              <w:rPr>
                <w:rFonts w:ascii="Times New Roman" w:hAnsi="Times New Roman"/>
                <w:b/>
                <w:sz w:val="20"/>
              </w:rPr>
              <w:t>13</w:t>
            </w:r>
          </w:p>
        </w:tc>
        <w:tc>
          <w:tcPr>
            <w:tcW w:w="2440" w:type="dxa"/>
            <w:noWrap/>
          </w:tcPr>
          <w:p w:rsidR="00B41CAA" w:rsidRPr="00224ADE" w:rsidRDefault="00B41CAA" w:rsidP="00B41CAA">
            <w:pPr>
              <w:jc w:val="both"/>
              <w:rPr>
                <w:rFonts w:ascii="Times New Roman" w:hAnsi="Times New Roman"/>
                <w:sz w:val="20"/>
              </w:rPr>
            </w:pPr>
            <w:r w:rsidRPr="00224ADE">
              <w:rPr>
                <w:rFonts w:ascii="Times New Roman" w:hAnsi="Times New Roman"/>
                <w:sz w:val="20"/>
              </w:rPr>
              <w:t>Los Ríos</w:t>
            </w:r>
          </w:p>
        </w:tc>
        <w:tc>
          <w:tcPr>
            <w:tcW w:w="388" w:type="dxa"/>
            <w:vMerge/>
          </w:tcPr>
          <w:p w:rsidR="00B41CAA" w:rsidRPr="00224ADE" w:rsidRDefault="00B41CAA" w:rsidP="00B41CAA">
            <w:pPr>
              <w:jc w:val="both"/>
              <w:rPr>
                <w:rFonts w:ascii="Times New Roman" w:hAnsi="Times New Roman"/>
                <w:b/>
                <w:sz w:val="20"/>
              </w:rPr>
            </w:pPr>
          </w:p>
        </w:tc>
        <w:tc>
          <w:tcPr>
            <w:tcW w:w="1277" w:type="dxa"/>
          </w:tcPr>
          <w:p w:rsidR="00B41CAA" w:rsidRPr="00224ADE" w:rsidRDefault="00B41CAA" w:rsidP="00B41CAA">
            <w:pPr>
              <w:jc w:val="both"/>
              <w:rPr>
                <w:rFonts w:ascii="Times New Roman" w:hAnsi="Times New Roman"/>
                <w:b/>
                <w:sz w:val="20"/>
              </w:rPr>
            </w:pPr>
            <w:r w:rsidRPr="00224ADE">
              <w:rPr>
                <w:rFonts w:ascii="Times New Roman" w:hAnsi="Times New Roman"/>
                <w:b/>
                <w:sz w:val="20"/>
              </w:rPr>
              <w:t>25</w:t>
            </w:r>
          </w:p>
        </w:tc>
        <w:tc>
          <w:tcPr>
            <w:tcW w:w="1879" w:type="dxa"/>
          </w:tcPr>
          <w:p w:rsidR="00B41CAA" w:rsidRPr="00224ADE" w:rsidRDefault="00B41CAA" w:rsidP="00B41CAA">
            <w:pPr>
              <w:jc w:val="both"/>
              <w:rPr>
                <w:rFonts w:ascii="Times New Roman" w:hAnsi="Times New Roman"/>
                <w:sz w:val="20"/>
              </w:rPr>
            </w:pPr>
            <w:r w:rsidRPr="00224ADE">
              <w:rPr>
                <w:rFonts w:ascii="Times New Roman" w:hAnsi="Times New Roman"/>
                <w:sz w:val="20"/>
              </w:rPr>
              <w:t>Guayas</w:t>
            </w:r>
          </w:p>
        </w:tc>
      </w:tr>
    </w:tbl>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5572760" cy="2924175"/>
            <wp:effectExtent l="0" t="0" r="889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2760" cy="2924175"/>
                    </a:xfrm>
                    <a:prstGeom prst="rect">
                      <a:avLst/>
                    </a:prstGeom>
                    <a:noFill/>
                    <a:ln>
                      <a:noFill/>
                    </a:ln>
                  </pic:spPr>
                </pic:pic>
              </a:graphicData>
            </a:graphic>
          </wp:inline>
        </w:drawing>
      </w:r>
    </w:p>
    <w:p w:rsidR="00B41CAA" w:rsidRPr="00224ADE" w:rsidRDefault="00B41CAA" w:rsidP="00B41CAA">
      <w:pPr>
        <w:jc w:val="both"/>
      </w:pPr>
      <w:r w:rsidRPr="00224ADE">
        <w:t>Analizando nuestra curva de Lorenz, se observa claramente la extrema inequidad a la que ya hemos hecho referencia antes. Donde las primeras 16 provincias (26% de la población) acumulan apenas el 10% del ingreso del subsector, es más, sumándoles las restantes 7 provincias (con lo que ya acumulamos el 57% de la población) siguientes se alcanza apenas el 30% del ingreso. La concentración real del ingreso de los servicios de salud se encuentran en 2 provincias: Pichincha y Guayas.</w:t>
      </w:r>
    </w:p>
    <w:p w:rsidR="00B41CAA" w:rsidRPr="00224ADE" w:rsidRDefault="00B41CAA" w:rsidP="00B41CAA">
      <w:pPr>
        <w:jc w:val="both"/>
      </w:pPr>
      <w:r w:rsidRPr="00224ADE">
        <w:t>Los dos mayores polos económicos concentran, siendo el 43% de la población, el 70% del total de lo ingresado por médicos, enfermeras, clínicas, hospitales, centros de salud, centros de rehabilitación, etc.</w:t>
      </w:r>
    </w:p>
    <w:p w:rsidR="00B41CAA" w:rsidRPr="00224ADE" w:rsidRDefault="00B41CAA" w:rsidP="00B41CAA">
      <w:pPr>
        <w:jc w:val="both"/>
      </w:pPr>
      <w:r w:rsidRPr="00224ADE">
        <w:t xml:space="preserve">Lo cual nos lleva al siguiente indicador del cual estamos hablando en el principio: </w:t>
      </w:r>
      <w:r w:rsidRPr="00224ADE">
        <w:rPr>
          <w:i/>
        </w:rPr>
        <w:t>El Coeficiente de Gini</w:t>
      </w:r>
      <w:r w:rsidRPr="00224ADE">
        <w:t>.</w:t>
      </w:r>
    </w:p>
    <w:p w:rsidR="00B41CAA" w:rsidRPr="00224ADE" w:rsidRDefault="00B41CAA" w:rsidP="00B41CAA">
      <w:pPr>
        <w:jc w:val="both"/>
      </w:pPr>
      <w:r w:rsidRPr="00224ADE">
        <w:t>Este coeficiente nos muestra el nivel de concentración en un intervalo entre cero y uno (0 y 1). Donde cero (0) significa la total equidistribución y uno (1) la total inequidad de ingreso entre la población. En este caso no haremos el estudio según provincia sino según población directamente.</w:t>
      </w:r>
    </w:p>
    <w:p w:rsidR="00B41CAA" w:rsidRPr="00224ADE" w:rsidRDefault="00B41CAA" w:rsidP="00B41CAA">
      <w:pPr>
        <w:jc w:val="both"/>
      </w:pPr>
      <w:r w:rsidRPr="00224ADE">
        <w:t>El proceso de cálculo da como resultado un nivel de inequidad extremadamente preocupante en cuando a distribución del ingreso: 0.88. Siendo un índice entre cero y uno, 0.88 nos muestra una casi completa inequidad en cuanto a ingresos.</w:t>
      </w:r>
    </w:p>
    <w:p w:rsidR="00B41CAA" w:rsidRPr="00224ADE" w:rsidRDefault="00B41CAA" w:rsidP="00B41CAA">
      <w:pPr>
        <w:jc w:val="both"/>
      </w:pPr>
      <w:r w:rsidRPr="00224ADE">
        <w:t>¿Puede ser esto cierto? Sí, aunque parezca increíble, Guayas que en población representa el 25% tiene el 46% de los ingresos totales. Pichincha es el 18% de habitantes del país, los ingresos en conceptos de servicios de salud son el 25% del total del Ecuador. Mientras que provincias como Azuay o Manabí con gran cantidad de población (14% del total) tienen un mediano ingreso (8%). Un caso especial es la provincia de Los Ríos, en la cual ya habíamos detectado deficiencias cuando analizamos establecimientos y gasto público (el cual relativamente a las otras provincias era descuidado), una vez más se nota aquello (5% de población, 1% de ingreso).</w:t>
      </w:r>
    </w:p>
    <w:p w:rsidR="00B41CAA" w:rsidRPr="00224ADE" w:rsidRDefault="00B41CAA" w:rsidP="00B41CAA">
      <w:pPr>
        <w:jc w:val="both"/>
      </w:pPr>
      <w:r w:rsidRPr="00224ADE">
        <w:rPr>
          <w:noProof/>
          <w:lang w:val="es-EC" w:eastAsia="es-EC"/>
        </w:rPr>
        <w:drawing>
          <wp:inline distT="0" distB="0" distL="0" distR="0">
            <wp:extent cx="4882515" cy="414909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82515" cy="4149090"/>
                    </a:xfrm>
                    <a:prstGeom prst="rect">
                      <a:avLst/>
                    </a:prstGeom>
                    <a:noFill/>
                    <a:ln>
                      <a:noFill/>
                    </a:ln>
                  </pic:spPr>
                </pic:pic>
              </a:graphicData>
            </a:graphic>
          </wp:inline>
        </w:drawing>
      </w:r>
    </w:p>
    <w:p w:rsidR="00B41CAA" w:rsidRPr="00224ADE" w:rsidRDefault="00B41CAA" w:rsidP="00B41CAA">
      <w:pPr>
        <w:pStyle w:val="Ttulo1"/>
        <w:rPr>
          <w:rFonts w:ascii="Times New Roman" w:hAnsi="Times New Roman"/>
        </w:rPr>
      </w:pPr>
      <w:r w:rsidRPr="00224ADE">
        <w:rPr>
          <w:rFonts w:ascii="Times New Roman" w:hAnsi="Times New Roman"/>
        </w:rPr>
        <w:t>Provincias con Mayor Ingreso por Establecimiento</w:t>
      </w: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5608465" cy="1475117"/>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08655" cy="1475167"/>
                    </a:xfrm>
                    <a:prstGeom prst="rect">
                      <a:avLst/>
                    </a:prstGeom>
                    <a:noFill/>
                    <a:ln>
                      <a:noFill/>
                    </a:ln>
                  </pic:spPr>
                </pic:pic>
              </a:graphicData>
            </a:graphic>
          </wp:inline>
        </w:drawing>
      </w: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Provincias con mayor cantidad de pago de impuestos por Establecimiento</w:t>
      </w:r>
    </w:p>
    <w:p w:rsidR="00B41CAA" w:rsidRPr="00224ADE" w:rsidRDefault="00B41CAA" w:rsidP="00B41CAA">
      <w:pPr>
        <w:jc w:val="both"/>
      </w:pPr>
    </w:p>
    <w:p w:rsidR="00B41CAA" w:rsidRPr="00224ADE" w:rsidRDefault="00B41CAA" w:rsidP="00B41CAA">
      <w:pPr>
        <w:jc w:val="both"/>
      </w:pPr>
    </w:p>
    <w:p w:rsidR="00B41CAA" w:rsidRPr="00224ADE" w:rsidRDefault="00B41CAA" w:rsidP="00B41CAA">
      <w:pPr>
        <w:jc w:val="both"/>
      </w:pPr>
      <w:r w:rsidRPr="00224ADE">
        <w:rPr>
          <w:noProof/>
          <w:lang w:val="es-EC" w:eastAsia="es-EC"/>
        </w:rPr>
        <w:drawing>
          <wp:inline distT="0" distB="0" distL="0" distR="0">
            <wp:extent cx="4951730" cy="1319530"/>
            <wp:effectExtent l="0" t="0" r="127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51730" cy="1319530"/>
                    </a:xfrm>
                    <a:prstGeom prst="rect">
                      <a:avLst/>
                    </a:prstGeom>
                    <a:noFill/>
                    <a:ln>
                      <a:noFill/>
                    </a:ln>
                  </pic:spPr>
                </pic:pic>
              </a:graphicData>
            </a:graphic>
          </wp:inline>
        </w:drawing>
      </w: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Relación Ingreso-Impuestos entre Guayas y Pichincha.</w:t>
      </w:r>
    </w:p>
    <w:p w:rsidR="00B41CAA" w:rsidRPr="00224ADE" w:rsidRDefault="00B41CAA" w:rsidP="00B41CAA">
      <w:pPr>
        <w:jc w:val="both"/>
      </w:pPr>
      <w:r w:rsidRPr="00224ADE">
        <w:t>La siguiente tabla explica básicamente un poco del manejo de los establecimientos con respecto al estado en cuanto a pago de impuestos, de los dos mayores polos económicos del país. Mientras que Guayas casi duplica en ingresos a Pichincha, en cuanto a pago de impuestos, Pichincha Paga 9 veces más que Guayas.</w:t>
      </w:r>
    </w:p>
    <w:p w:rsidR="00B41CAA" w:rsidRPr="00224ADE" w:rsidRDefault="00B41CAA" w:rsidP="00B41CAA">
      <w:r w:rsidRPr="00224ADE">
        <w:rPr>
          <w:noProof/>
          <w:lang w:val="es-EC" w:eastAsia="es-EC"/>
        </w:rPr>
        <w:drawing>
          <wp:inline distT="0" distB="0" distL="0" distR="0">
            <wp:extent cx="5589530" cy="1052422"/>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9530" cy="1052422"/>
                    </a:xfrm>
                    <a:prstGeom prst="rect">
                      <a:avLst/>
                    </a:prstGeom>
                    <a:noFill/>
                    <a:ln>
                      <a:noFill/>
                    </a:ln>
                  </pic:spPr>
                </pic:pic>
              </a:graphicData>
            </a:graphic>
          </wp:inline>
        </w:drawing>
      </w:r>
    </w:p>
    <w:p w:rsidR="00B41CAA" w:rsidRPr="00224ADE" w:rsidRDefault="00B41CAA" w:rsidP="00B41CAA"/>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Valor Agregado</w:t>
      </w:r>
    </w:p>
    <w:p w:rsidR="00B41CAA" w:rsidRPr="00224ADE" w:rsidRDefault="00B41CAA" w:rsidP="00B41CAA">
      <w:pPr>
        <w:jc w:val="both"/>
      </w:pPr>
      <w:r w:rsidRPr="00224ADE">
        <w:t>Otro de los rubros a tomar en cuenta sin duda es el del Valor agregado, una vez más vemos los focos de concentración que obtienen en 72% del valor agregado total del subsector.</w:t>
      </w:r>
    </w:p>
    <w:p w:rsidR="00B41CAA" w:rsidRPr="00224ADE" w:rsidRDefault="00B41CAA" w:rsidP="00B41CAA">
      <w:pPr>
        <w:jc w:val="both"/>
      </w:pPr>
      <w:r w:rsidRPr="00224ADE">
        <w:rPr>
          <w:noProof/>
          <w:lang w:val="es-EC" w:eastAsia="es-EC"/>
        </w:rPr>
        <w:drawing>
          <wp:inline distT="0" distB="0" distL="0" distR="0">
            <wp:extent cx="4839335" cy="2596515"/>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839335" cy="2596515"/>
                    </a:xfrm>
                    <a:prstGeom prst="rect">
                      <a:avLst/>
                    </a:prstGeom>
                    <a:noFill/>
                    <a:ln>
                      <a:noFill/>
                    </a:ln>
                  </pic:spPr>
                </pic:pic>
              </a:graphicData>
            </a:graphic>
          </wp:inline>
        </w:drawing>
      </w:r>
    </w:p>
    <w:p w:rsidR="00B41CAA" w:rsidRPr="00224ADE" w:rsidRDefault="00B41CAA" w:rsidP="00B41CAA">
      <w:pPr>
        <w:jc w:val="both"/>
      </w:pPr>
      <w:r w:rsidRPr="00224ADE">
        <w:rPr>
          <w:noProof/>
          <w:lang w:val="es-EC" w:eastAsia="es-EC"/>
        </w:rPr>
        <w:drawing>
          <wp:inline distT="0" distB="0" distL="0" distR="0">
            <wp:extent cx="4848225" cy="991870"/>
            <wp:effectExtent l="0" t="0" r="9525"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48225" cy="991870"/>
                    </a:xfrm>
                    <a:prstGeom prst="rect">
                      <a:avLst/>
                    </a:prstGeom>
                    <a:noFill/>
                    <a:ln>
                      <a:noFill/>
                    </a:ln>
                  </pic:spPr>
                </pic:pic>
              </a:graphicData>
            </a:graphic>
          </wp:inline>
        </w:drawing>
      </w:r>
    </w:p>
    <w:p w:rsidR="00B41CAA" w:rsidRPr="00224ADE" w:rsidRDefault="00B41CAA" w:rsidP="00B41CAA">
      <w:pPr>
        <w:jc w:val="both"/>
      </w:pPr>
    </w:p>
    <w:p w:rsidR="00B41CAA" w:rsidRPr="00224ADE" w:rsidRDefault="00B41CAA" w:rsidP="00B41CAA">
      <w:pPr>
        <w:jc w:val="both"/>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Forma de Gastos de los Establecimientos</w:t>
      </w:r>
    </w:p>
    <w:p w:rsidR="00B41CAA" w:rsidRPr="00224ADE" w:rsidRDefault="00B41CAA" w:rsidP="00B41CAA">
      <w:pPr>
        <w:jc w:val="both"/>
      </w:pPr>
      <w:r w:rsidRPr="00224ADE">
        <w:t>En la forma de gasto de los establecimientos se nota claramente el rubro donde más se gasta: la materia prima.</w:t>
      </w:r>
    </w:p>
    <w:p w:rsidR="00B41CAA" w:rsidRPr="00224ADE" w:rsidRDefault="00B41CAA" w:rsidP="00B41CAA">
      <w:r w:rsidRPr="00224ADE">
        <w:rPr>
          <w:noProof/>
          <w:lang w:val="es-EC" w:eastAsia="es-EC"/>
        </w:rPr>
        <w:drawing>
          <wp:anchor distT="0" distB="0" distL="114300" distR="114300" simplePos="0" relativeHeight="251662336" behindDoc="1" locked="0" layoutInCell="1" allowOverlap="1">
            <wp:simplePos x="0" y="0"/>
            <wp:positionH relativeFrom="column">
              <wp:posOffset>-414655</wp:posOffset>
            </wp:positionH>
            <wp:positionV relativeFrom="paragraph">
              <wp:posOffset>224790</wp:posOffset>
            </wp:positionV>
            <wp:extent cx="6487795" cy="2121535"/>
            <wp:effectExtent l="0" t="0" r="8255" b="0"/>
            <wp:wrapTight wrapText="bothSides">
              <wp:wrapPolygon edited="0">
                <wp:start x="0" y="0"/>
                <wp:lineTo x="0" y="21335"/>
                <wp:lineTo x="21564" y="21335"/>
                <wp:lineTo x="21564" y="0"/>
                <wp:lineTo x="0" y="0"/>
              </wp:wrapPolygon>
            </wp:wrapTight>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87795" cy="2121535"/>
                    </a:xfrm>
                    <a:prstGeom prst="rect">
                      <a:avLst/>
                    </a:prstGeom>
                    <a:noFill/>
                    <a:ln>
                      <a:noFill/>
                    </a:ln>
                  </pic:spPr>
                </pic:pic>
              </a:graphicData>
            </a:graphic>
          </wp:anchor>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Personal Ocupado</w:t>
      </w:r>
    </w:p>
    <w:p w:rsidR="00B41CAA" w:rsidRPr="00224ADE" w:rsidRDefault="00B41CAA" w:rsidP="00B41CAA">
      <w:pPr>
        <w:jc w:val="both"/>
      </w:pPr>
      <w:r w:rsidRPr="00224ADE">
        <w:t>Otro de los factores vitales del estudio es el análisis del personal ocupado, donde veremos el desarrollo de la problemática que expusimos mientras observábamos los ingresos.</w:t>
      </w:r>
    </w:p>
    <w:p w:rsidR="00B41CAA" w:rsidRPr="00224ADE" w:rsidRDefault="00B41CAA" w:rsidP="00B41CAA">
      <w:pPr>
        <w:jc w:val="both"/>
      </w:pPr>
      <w:r w:rsidRPr="00224ADE">
        <w:t>En cuanto a la distribución de personal en servicios de salud, los polos evidentemente son quienes abarcan la gran parte de la oferta. Entre los tres polos principales (Guayas, Pichincha y Azuay), se centraliza la oferta con el 62%, y las restantes 22 provincias teniendo el 38% de la oferta de personal dentro de la rama de servicios de salud.</w:t>
      </w:r>
    </w:p>
    <w:p w:rsidR="00B41CAA" w:rsidRPr="00224ADE" w:rsidRDefault="00B41CAA" w:rsidP="00B41CAA">
      <w:r w:rsidRPr="00224ADE">
        <w:rPr>
          <w:noProof/>
          <w:lang w:val="es-EC" w:eastAsia="es-EC"/>
        </w:rPr>
        <w:drawing>
          <wp:inline distT="0" distB="0" distL="0" distR="0">
            <wp:extent cx="5731510" cy="3350629"/>
            <wp:effectExtent l="0" t="0" r="2540" b="254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31510" cy="3350629"/>
                    </a:xfrm>
                    <a:prstGeom prst="rect">
                      <a:avLst/>
                    </a:prstGeom>
                    <a:noFill/>
                    <a:ln>
                      <a:noFill/>
                    </a:ln>
                  </pic:spPr>
                </pic:pic>
              </a:graphicData>
            </a:graphic>
          </wp:inline>
        </w:drawing>
      </w:r>
    </w:p>
    <w:p w:rsidR="00B41CAA" w:rsidRPr="00224ADE" w:rsidRDefault="00B41CAA" w:rsidP="00B41CAA">
      <w:r w:rsidRPr="00224ADE">
        <w:rPr>
          <w:noProof/>
          <w:lang w:val="es-EC" w:eastAsia="es-EC"/>
        </w:rPr>
        <w:drawing>
          <wp:inline distT="0" distB="0" distL="0" distR="0">
            <wp:extent cx="5731510" cy="3495359"/>
            <wp:effectExtent l="0" t="0" r="254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495359"/>
                    </a:xfrm>
                    <a:prstGeom prst="rect">
                      <a:avLst/>
                    </a:prstGeom>
                    <a:noFill/>
                    <a:ln>
                      <a:noFill/>
                    </a:ln>
                  </pic:spPr>
                </pic:pic>
              </a:graphicData>
            </a:graphic>
          </wp:inline>
        </w:drawing>
      </w:r>
    </w:p>
    <w:p w:rsidR="00B41CAA" w:rsidRPr="00224ADE" w:rsidRDefault="00B41CAA" w:rsidP="00B41CAA">
      <w:pPr>
        <w:jc w:val="both"/>
      </w:pPr>
      <w:r w:rsidRPr="00224ADE">
        <w:t>En el gráfico a continuación muestra aquella situación de centralización dinámica</w:t>
      </w:r>
      <w:r w:rsidRPr="00224ADE">
        <w:rPr>
          <w:rStyle w:val="Refdenotaalpie"/>
        </w:rPr>
        <w:footnoteReference w:id="12"/>
      </w:r>
      <w:r w:rsidRPr="00224ADE">
        <w:t>. En los polos es en donde mayor cantidad de personas ocupadas al servicio de la salud se concentran. Esto se puede estar dándose por varios motivos, principalmente por el potencial mejor del nivel de vida y los salarios más altos</w:t>
      </w:r>
      <w:r w:rsidRPr="00224ADE">
        <w:rPr>
          <w:rStyle w:val="Refdenotaalpie"/>
        </w:rPr>
        <w:footnoteReference w:id="13"/>
      </w:r>
    </w:p>
    <w:p w:rsidR="00B41CAA" w:rsidRPr="00224ADE" w:rsidRDefault="00B41CAA" w:rsidP="00B41CAA">
      <w:pPr>
        <w:sectPr w:rsidR="00B41CAA" w:rsidRPr="00224ADE">
          <w:pgSz w:w="11906" w:h="16838"/>
          <w:pgMar w:top="1440" w:right="1440" w:bottom="1440" w:left="1440" w:header="708" w:footer="708" w:gutter="0"/>
          <w:cols w:space="708"/>
          <w:docGrid w:linePitch="360"/>
        </w:sectPr>
      </w:pPr>
      <w:r w:rsidRPr="00224ADE">
        <w:rPr>
          <w:noProof/>
          <w:lang w:val="es-EC" w:eastAsia="es-EC"/>
        </w:rPr>
        <w:drawing>
          <wp:inline distT="0" distB="0" distL="0" distR="0">
            <wp:extent cx="5531689" cy="2950234"/>
            <wp:effectExtent l="0" t="0" r="0" b="254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32664" cy="2950754"/>
                    </a:xfrm>
                    <a:prstGeom prst="rect">
                      <a:avLst/>
                    </a:prstGeom>
                    <a:noFill/>
                  </pic:spPr>
                </pic:pic>
              </a:graphicData>
            </a:graphic>
          </wp:inline>
        </w:drawing>
      </w:r>
    </w:p>
    <w:p w:rsidR="00B41CAA" w:rsidRPr="00224ADE" w:rsidRDefault="00B41CAA" w:rsidP="00B41CAA">
      <w:pPr>
        <w:jc w:val="both"/>
      </w:pPr>
      <w:r w:rsidRPr="00224ADE">
        <w:t>Guayas es la provincia más peculiar, es la provincia con mayor ingreso con una distancia imponente hacia las demás provincias, pero cuando hablamos de impuestos vimos que no era el ejemplo, y a más de eso este gráfico nos muestra que es la provincia en la que menos porcentaje del ingreso significa remuneraciones. Por lo cual podemos tomar una conclusión inicial de que la gran captación de recursos no son precisamente bien distribuidas entre los trabajadores y empleadores y empresas privadas.</w:t>
      </w:r>
    </w:p>
    <w:p w:rsidR="00B41CAA" w:rsidRPr="00224ADE" w:rsidRDefault="00B41CAA" w:rsidP="00B41CAA">
      <w:r w:rsidRPr="00224ADE">
        <w:rPr>
          <w:noProof/>
          <w:lang w:val="es-EC" w:eastAsia="es-EC"/>
        </w:rPr>
        <w:drawing>
          <wp:inline distT="0" distB="0" distL="0" distR="0">
            <wp:extent cx="5730875" cy="3255645"/>
            <wp:effectExtent l="0" t="0" r="3175" b="190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30875" cy="3255645"/>
                    </a:xfrm>
                    <a:prstGeom prst="rect">
                      <a:avLst/>
                    </a:prstGeom>
                    <a:noFill/>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El Estado</w:t>
      </w:r>
    </w:p>
    <w:p w:rsidR="00B41CAA" w:rsidRPr="00224ADE" w:rsidRDefault="00B41CAA" w:rsidP="00B41CAA">
      <w:pPr>
        <w:jc w:val="both"/>
      </w:pPr>
      <w:r w:rsidRPr="00224ADE">
        <w:t>En el Ecuador, en los últimos 5 años ha sucedido una situación que en relación a años anteriores es una singularidad, el gasto social en el sector Salud se ha incrementado cuantiosamente. En seguida mostramos los datos de la inversión anual por parte del Gobierno Central:</w:t>
      </w:r>
    </w:p>
    <w:p w:rsidR="00B41CAA" w:rsidRPr="00224ADE" w:rsidRDefault="00B16FC0" w:rsidP="00B41CAA">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3821430</wp:posOffset>
                </wp:positionH>
                <wp:positionV relativeFrom="paragraph">
                  <wp:posOffset>476885</wp:posOffset>
                </wp:positionV>
                <wp:extent cx="1828800" cy="1043940"/>
                <wp:effectExtent l="0" t="0" r="19050" b="22860"/>
                <wp:wrapNone/>
                <wp:docPr id="11" name="70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1043940"/>
                        </a:xfrm>
                        <a:prstGeom prst="rect">
                          <a:avLst/>
                        </a:prstGeom>
                        <a:noFill/>
                        <a:ln>
                          <a:solidFill>
                            <a:srgbClr val="B4B004"/>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6FA73E8" id="70 Rectángulo" o:spid="_x0000_s1026" style="position:absolute;margin-left:300.9pt;margin-top:37.55pt;width:2in;height:82.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" filled="f" strokecolor="#b4b004" strokeweight="2pt">
                <v:path arrowok="t"/>
              </v:rect>
            </w:pict>
          </mc:Fallback>
        </mc:AlternateContent>
      </w:r>
      <w:r w:rsidR="00B41CAA" w:rsidRPr="00224ADE">
        <w:rPr>
          <w:noProof/>
          <w:lang w:val="es-EC" w:eastAsia="es-EC"/>
        </w:rPr>
        <w:drawing>
          <wp:inline distT="0" distB="0" distL="0" distR="0">
            <wp:extent cx="5731510" cy="2713836"/>
            <wp:effectExtent l="0" t="0" r="254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31510" cy="2713836"/>
                    </a:xfrm>
                    <a:prstGeom prst="rect">
                      <a:avLst/>
                    </a:prstGeom>
                    <a:noFill/>
                    <a:ln>
                      <a:noFill/>
                    </a:ln>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Gasto Salud MSP per cápita.</w:t>
      </w:r>
    </w:p>
    <w:p w:rsidR="00B41CAA" w:rsidRPr="00224ADE" w:rsidRDefault="00B41CAA" w:rsidP="00B41CAA">
      <w:pPr>
        <w:jc w:val="both"/>
      </w:pPr>
      <w:r w:rsidRPr="00224ADE">
        <w:t xml:space="preserve">Lo más notorio en esta tabla es que las 6 provincias con mayor inversión per cápita por parte del Ministerio de Salud Pública al año 2011 son unas con una población baja y tienen una inversión superior a 100 USD (hasta $ 260) USD por persona; mientras que un siguiente grupo de inversión media, relativamente, se encuentran provincias de mayor población e inversiones por persona entre 60 y 90 USD. Para referirnos al grupo final es necesario hacerlo provincia por provincia. Cotopaxi, provincia con alto porcentaje de población indígena, no solo que es de las provincias que menos inversión per cápita tiene, sino que es la segunda provincia que menor tasa decrecimiento tiene en este rubro en los últimos 5 años, situación que veremos a continuación. Luego tenemos a la provincia del Guayas que es la más grande de todas, con el mayor ingreso del Sector Salud, con la menor cantidad de ingresos que significan remuneraciones y ahora observamos una de las más bajas inversiones directas del MSP per cápita. Pasamos a Los Ríos, que al parecer es la provincia más descuidada en cuanto a salud se refiere, es la provincia 17 en cuanto a establecimientos de salud pública, la 22 en cuanto a inversión y gasto per cápita del mismo tipo, la que tiene la 3ª menor tasa de crecimiento en inversión de salud pública en el periodo 2006-2011 y la 22 en cuanto a oferta de personal ocupado en salud, por solo mencionar el problema de oferta de salud, porque a la vez es de las provincias con más altos índices de pobreza del país. Las dos siguientes provincias, que son las que han recibido el menor gasto (dentro del presupuesto vigente) per cápita del país en 2011, son las provincias recién creadas; y finalmente la que hemos tomado como provincia llamada </w:t>
      </w:r>
      <w:r w:rsidRPr="00224ADE">
        <w:rPr>
          <w:i/>
        </w:rPr>
        <w:t>Zonas no Delimitadas</w:t>
      </w:r>
      <w:r w:rsidRPr="00224ADE">
        <w:t>, no ha recibido gasto en Salud Pública por parte del MSP directamente.</w:t>
      </w:r>
    </w:p>
    <w:p w:rsidR="00B41CAA" w:rsidRPr="00224ADE" w:rsidRDefault="00B41CAA" w:rsidP="00B41CAA"/>
    <w:p w:rsidR="00B41CAA" w:rsidRPr="00224ADE" w:rsidRDefault="00B41CAA" w:rsidP="00B41CAA">
      <w:r w:rsidRPr="00224ADE">
        <w:rPr>
          <w:noProof/>
          <w:lang w:val="es-EC" w:eastAsia="es-EC"/>
        </w:rPr>
        <w:drawing>
          <wp:inline distT="0" distB="0" distL="0" distR="0">
            <wp:extent cx="5667375" cy="3709670"/>
            <wp:effectExtent l="0" t="0" r="9525" b="508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67375" cy="3709670"/>
                    </a:xfrm>
                    <a:prstGeom prst="rect">
                      <a:avLst/>
                    </a:prstGeom>
                    <a:noFill/>
                    <a:ln>
                      <a:noFill/>
                    </a:ln>
                  </pic:spPr>
                </pic:pic>
              </a:graphicData>
            </a:graphic>
          </wp:inline>
        </w:drawing>
      </w: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Tasa de Variación Provincias con menos inversión per cápita del año 2006.</w:t>
      </w:r>
    </w:p>
    <w:p w:rsidR="00B41CAA" w:rsidRPr="00224ADE" w:rsidRDefault="00B41CAA" w:rsidP="00B41CAA">
      <w:pPr>
        <w:jc w:val="both"/>
      </w:pPr>
      <w:r w:rsidRPr="00224ADE">
        <w:t>En la siguiente tabla nos podemos fijar como crecieron en cuanto a Inversión en Salud Pública las provincias que menos tenían en el año 2006 al año 2011 (periodo de estudio). Los Ríos es la que menos creció por una diferencia amplia (38%), siendo al año 2006 la segunda provincia en la que menos se gastó per cápita en cuanto a salud pública se refiere, y para el 2011 es la 3ª provincia de menor inversión del mismo rubro.</w:t>
      </w:r>
    </w:p>
    <w:p w:rsidR="00B41CAA" w:rsidRPr="00224ADE" w:rsidRDefault="00B41CAA" w:rsidP="00B41CAA"/>
    <w:p w:rsidR="00B41CAA" w:rsidRPr="00224ADE" w:rsidRDefault="00B41CAA" w:rsidP="00B41CAA">
      <w:r w:rsidRPr="00224ADE">
        <w:rPr>
          <w:noProof/>
          <w:lang w:val="es-EC" w:eastAsia="es-EC"/>
        </w:rPr>
        <w:drawing>
          <wp:inline distT="0" distB="0" distL="0" distR="0">
            <wp:extent cx="5731510" cy="848464"/>
            <wp:effectExtent l="0" t="0" r="2540" b="889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31510" cy="848464"/>
                    </a:xfrm>
                    <a:prstGeom prst="rect">
                      <a:avLst/>
                    </a:prstGeom>
                    <a:noFill/>
                    <a:ln>
                      <a:noFill/>
                    </a:ln>
                  </pic:spPr>
                </pic:pic>
              </a:graphicData>
            </a:graphic>
          </wp:inline>
        </w:drawing>
      </w:r>
    </w:p>
    <w:p w:rsidR="00B41CAA" w:rsidRPr="00224ADE" w:rsidRDefault="00B41CAA" w:rsidP="00B41CAA"/>
    <w:p w:rsidR="00B41CAA" w:rsidRPr="00224ADE" w:rsidRDefault="00B41CAA" w:rsidP="00B41CAA">
      <w:pPr>
        <w:jc w:val="both"/>
      </w:pPr>
      <w:r w:rsidRPr="00224ADE">
        <w:t>Pero Los Ríos no es la única con problemas de descuido, lo es también Cotopaxi, que como veíamos antes también estaba en el grupo de las provincias con menores gastos en salud pública; es la segunda en cuanto a tasa de crecimiento de esta última sección (34%), siempre estando en los últimos lugares de inversión: en 2006 el 18ª de 22 y en 2011 20ª de 24. Pero un caso de retroceso triste es el de Cañar, esta provincia que en cuanto a inversión del MSP directa en 2006 ocupaba el lugar  8°, en 2011 está en el puesto 16°, y las provincias que se le han adelantado tienen promedios de inversión en salud pública per cápita sobre los 77 USD hasta los 261 USD.</w:t>
      </w:r>
    </w:p>
    <w:p w:rsidR="00B41CAA" w:rsidRPr="00224ADE" w:rsidRDefault="00B41CAA" w:rsidP="00B41CAA">
      <w:r w:rsidRPr="00224ADE">
        <w:rPr>
          <w:noProof/>
          <w:lang w:val="es-EC" w:eastAsia="es-EC"/>
        </w:rPr>
        <w:drawing>
          <wp:inline distT="0" distB="0" distL="0" distR="0">
            <wp:extent cx="5731510" cy="763642"/>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31510" cy="763642"/>
                    </a:xfrm>
                    <a:prstGeom prst="rect">
                      <a:avLst/>
                    </a:prstGeom>
                    <a:noFill/>
                    <a:ln>
                      <a:noFill/>
                    </a:ln>
                  </pic:spPr>
                </pic:pic>
              </a:graphicData>
            </a:graphic>
          </wp:inline>
        </w:drawing>
      </w: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Inversión por Hospital y Centros de Salud, 2011. MSP.</w:t>
      </w:r>
    </w:p>
    <w:p w:rsidR="00B41CAA" w:rsidRPr="00224ADE" w:rsidRDefault="00B41CAA" w:rsidP="00B41CAA">
      <w:r w:rsidRPr="00224ADE">
        <w:t>Este rubro varía entre 1’400.000 y  4’800.000 dólares, pero la diferencia es insignificante tomando en cuenta que la inversión en salud pública del MSP per cápita de las provincias con menor Promedio de inversión por Hospital y Centro de Salud son las más altas a su vez. Entonces se nota un afán de distribución equitativa de recursos.</w:t>
      </w:r>
    </w:p>
    <w:p w:rsidR="00B41CAA" w:rsidRPr="00224ADE" w:rsidRDefault="00B41CAA" w:rsidP="00B41CAA">
      <w:pPr>
        <w:pStyle w:val="Ttulo1"/>
        <w:rPr>
          <w:rFonts w:ascii="Times New Roman" w:hAnsi="Times New Roman"/>
        </w:rPr>
      </w:pPr>
      <w:r w:rsidRPr="00224ADE">
        <w:rPr>
          <w:rFonts w:ascii="Times New Roman" w:hAnsi="Times New Roman"/>
          <w:noProof/>
          <w:lang w:val="es-EC" w:eastAsia="es-EC"/>
        </w:rPr>
        <w:drawing>
          <wp:inline distT="0" distB="0" distL="0" distR="0">
            <wp:extent cx="5719445" cy="4028440"/>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9445" cy="4028440"/>
                    </a:xfrm>
                    <a:prstGeom prst="rect">
                      <a:avLst/>
                    </a:prstGeom>
                    <a:noFill/>
                    <a:ln>
                      <a:noFill/>
                    </a:ln>
                  </pic:spPr>
                </pic:pic>
              </a:graphicData>
            </a:graphic>
          </wp:inline>
        </w:drawing>
      </w:r>
    </w:p>
    <w:p w:rsidR="00B41CAA" w:rsidRPr="00224ADE" w:rsidRDefault="00B41CAA" w:rsidP="00B41CAA">
      <w:pPr>
        <w:pStyle w:val="Ttulo1"/>
        <w:rPr>
          <w:rFonts w:ascii="Times New Roman" w:hAnsi="Times New Roman"/>
        </w:rPr>
      </w:pPr>
    </w:p>
    <w:p w:rsidR="00B41CAA" w:rsidRDefault="00B41CAA" w:rsidP="00B41CAA">
      <w:pPr>
        <w:jc w:val="center"/>
        <w:rPr>
          <w:b/>
          <w:szCs w:val="36"/>
        </w:rPr>
      </w:pPr>
      <w:r>
        <w:br w:type="page"/>
      </w:r>
      <w:r>
        <w:rPr>
          <w:b/>
          <w:szCs w:val="36"/>
        </w:rPr>
        <w:t>Capítulo 3</w:t>
      </w:r>
    </w:p>
    <w:p w:rsidR="00B41CAA" w:rsidRDefault="00B41CAA" w:rsidP="00B41CAA">
      <w:pPr>
        <w:jc w:val="center"/>
        <w:rPr>
          <w:b/>
          <w:szCs w:val="36"/>
        </w:rPr>
      </w:pPr>
    </w:p>
    <w:p w:rsidR="0066262C" w:rsidRPr="0066262C" w:rsidRDefault="0066262C" w:rsidP="0066262C">
      <w:pPr>
        <w:pStyle w:val="Puesto"/>
        <w:jc w:val="center"/>
        <w:rPr>
          <w:b/>
          <w:color w:val="auto"/>
          <w:sz w:val="24"/>
        </w:rPr>
      </w:pPr>
      <w:r w:rsidRPr="0066262C">
        <w:rPr>
          <w:b/>
          <w:color w:val="auto"/>
          <w:sz w:val="24"/>
          <w:lang w:val="es-ES_tradnl"/>
        </w:rPr>
        <w:t>Estudio de las estructuras de Concentración y Centralización del Sector Salud: Servicios, Industria, Comercio</w:t>
      </w:r>
    </w:p>
    <w:p w:rsidR="00B41CAA" w:rsidRPr="00224ADE" w:rsidRDefault="00B41CAA" w:rsidP="00B41CAA"/>
    <w:p w:rsidR="00B41CAA" w:rsidRPr="00224ADE" w:rsidRDefault="00B41CAA" w:rsidP="00B41CAA">
      <w:r w:rsidRPr="00224ADE">
        <w:rPr>
          <w:noProof/>
          <w:lang w:val="es-EC" w:eastAsia="es-EC"/>
        </w:rPr>
        <w:drawing>
          <wp:inline distT="0" distB="0" distL="0" distR="0">
            <wp:extent cx="5829815" cy="2700068"/>
            <wp:effectExtent l="0" t="0" r="0" b="508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24677" cy="2697688"/>
                    </a:xfrm>
                    <a:prstGeom prst="rect">
                      <a:avLst/>
                    </a:prstGeom>
                    <a:noFill/>
                    <a:ln>
                      <a:noFill/>
                    </a:ln>
                  </pic:spPr>
                </pic:pic>
              </a:graphicData>
            </a:graphic>
          </wp:inline>
        </w:drawing>
      </w:r>
    </w:p>
    <w:p w:rsidR="00B41CAA" w:rsidRPr="00224ADE" w:rsidRDefault="00B41CAA" w:rsidP="00B41CAA">
      <w:r w:rsidRPr="00224ADE">
        <w:rPr>
          <w:noProof/>
          <w:lang w:val="es-EC" w:eastAsia="es-EC"/>
        </w:rPr>
        <w:drawing>
          <wp:inline distT="0" distB="0" distL="0" distR="0">
            <wp:extent cx="5731510" cy="2654538"/>
            <wp:effectExtent l="0" t="0" r="254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31510" cy="2654538"/>
                    </a:xfrm>
                    <a:prstGeom prst="rect">
                      <a:avLst/>
                    </a:prstGeom>
                    <a:noFill/>
                    <a:ln>
                      <a:noFill/>
                    </a:ln>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Activos Fijos por Establecimiento: Actividades.</w:t>
      </w:r>
    </w:p>
    <w:p w:rsidR="00B41CAA" w:rsidRPr="00224ADE" w:rsidRDefault="00B41CAA" w:rsidP="00B41CAA">
      <w:r w:rsidRPr="00224ADE">
        <w:t>En el siguiente gráfico que describe los activos fijos por establecimiento, en promedio, nos muestra algo que es evidente debido a la necesidad de capacidad instalada para poder funcionar: la fábrica  (monopolio) de  sustancias radioactivas y productos de biotecnología y las fábricas de sustancias medicinales en general, les llevan una gran ventaja en cuanto a valor de activos fijos (4’000.000 USD) a los demás rubros del sector salud. Luego tenemos a los hospitales básicos y generales con casi medio millón de dólares por establecimiento.</w:t>
      </w:r>
    </w:p>
    <w:p w:rsidR="00B41CAA" w:rsidRPr="00224ADE" w:rsidRDefault="00B41CAA" w:rsidP="00B41CAA"/>
    <w:p w:rsidR="00B41CAA" w:rsidRPr="00224ADE" w:rsidRDefault="00B41CAA" w:rsidP="00B41CAA">
      <w:r w:rsidRPr="00224ADE">
        <w:rPr>
          <w:noProof/>
          <w:lang w:val="es-EC" w:eastAsia="es-EC"/>
        </w:rPr>
        <w:drawing>
          <wp:anchor distT="0" distB="0" distL="114300" distR="114300" simplePos="0" relativeHeight="251665408" behindDoc="0" locked="0" layoutInCell="1" allowOverlap="1">
            <wp:simplePos x="0" y="0"/>
            <wp:positionH relativeFrom="column">
              <wp:posOffset>-433705</wp:posOffset>
            </wp:positionH>
            <wp:positionV relativeFrom="paragraph">
              <wp:posOffset>48895</wp:posOffset>
            </wp:positionV>
            <wp:extent cx="6537325" cy="3084830"/>
            <wp:effectExtent l="0" t="0" r="0" b="1270"/>
            <wp:wrapSquare wrapText="bothSides"/>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537325" cy="3084830"/>
                    </a:xfrm>
                    <a:prstGeom prst="rect">
                      <a:avLst/>
                    </a:prstGeom>
                    <a:noFill/>
                    <a:ln>
                      <a:noFill/>
                    </a:ln>
                  </pic:spPr>
                </pic:pic>
              </a:graphicData>
            </a:graphic>
          </wp:anchor>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Activos Fijos por Establecimiento: Subsectores.</w:t>
      </w:r>
    </w:p>
    <w:p w:rsidR="00B41CAA" w:rsidRPr="00224ADE" w:rsidRDefault="00B41CAA" w:rsidP="00B41CAA">
      <w:r w:rsidRPr="00224ADE">
        <w:rPr>
          <w:noProof/>
          <w:lang w:val="es-EC" w:eastAsia="es-EC"/>
        </w:rPr>
        <w:drawing>
          <wp:anchor distT="0" distB="0" distL="114300" distR="114300" simplePos="0" relativeHeight="251670528" behindDoc="0" locked="0" layoutInCell="1" allowOverlap="1">
            <wp:simplePos x="0" y="0"/>
            <wp:positionH relativeFrom="column">
              <wp:posOffset>-516890</wp:posOffset>
            </wp:positionH>
            <wp:positionV relativeFrom="paragraph">
              <wp:posOffset>912495</wp:posOffset>
            </wp:positionV>
            <wp:extent cx="6875780" cy="2486025"/>
            <wp:effectExtent l="0" t="0" r="1270" b="9525"/>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875780" cy="2486025"/>
                    </a:xfrm>
                    <a:prstGeom prst="rect">
                      <a:avLst/>
                    </a:prstGeom>
                    <a:noFill/>
                    <a:ln>
                      <a:noFill/>
                    </a:ln>
                  </pic:spPr>
                </pic:pic>
              </a:graphicData>
            </a:graphic>
          </wp:anchor>
        </w:drawing>
      </w:r>
      <w:r w:rsidRPr="00224ADE">
        <w:t>Este gráfico es aún más instructivo y muestra la gran diferencia de capital fijo de los subsectores de la salud. En promedio por establecimiento, la industria tiene por establecimiento un promedio de dos millones y medio de dólares, mientras que el sector comercial, 182 800 USD, y los servicios       $66 000.</w:t>
      </w:r>
    </w:p>
    <w:p w:rsidR="00B41CAA" w:rsidRPr="00224ADE" w:rsidRDefault="00B41CAA" w:rsidP="00B41CAA">
      <w:pPr>
        <w:pStyle w:val="Ttulo1"/>
        <w:rPr>
          <w:rFonts w:ascii="Times New Roman" w:hAnsi="Times New Roman"/>
        </w:rPr>
      </w:pPr>
    </w:p>
    <w:p w:rsidR="00B41CAA" w:rsidRPr="00224ADE" w:rsidRDefault="00B41CAA" w:rsidP="00B41CAA"/>
    <w:p w:rsidR="00B41CAA" w:rsidRPr="00224ADE" w:rsidRDefault="00B41CAA" w:rsidP="00B41CAA">
      <w:pPr>
        <w:rPr>
          <w:rFonts w:eastAsiaTheme="majorEastAsia" w:cstheme="majorBidi"/>
          <w:b/>
          <w:bCs/>
          <w:color w:val="365F91" w:themeColor="accent1" w:themeShade="BF"/>
          <w:sz w:val="28"/>
          <w:szCs w:val="28"/>
        </w:rPr>
      </w:pPr>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Ingresos</w:t>
      </w:r>
    </w:p>
    <w:p w:rsidR="00B41CAA" w:rsidRPr="00224ADE" w:rsidRDefault="00B41CAA" w:rsidP="00B41CAA">
      <w:pPr>
        <w:jc w:val="both"/>
      </w:pPr>
      <w:r w:rsidRPr="00224ADE">
        <w:t>Entrando nuevamente, en el sector donde se demuestra la mayor inequidad de todas en el año 2009. La fabricación y distribución al mayor de productos farmacéuticos que representan el 0.73% del total de los establecimientos acumulan el 60,41% de los ingresos de todo sector salud, para dejarle al 99.27% el 39.59% del ingreso total.</w:t>
      </w:r>
    </w:p>
    <w:p w:rsidR="00B41CAA" w:rsidRPr="00224ADE" w:rsidRDefault="00B41CAA" w:rsidP="00B41CAA">
      <w:pPr>
        <w:jc w:val="both"/>
      </w:pPr>
    </w:p>
    <w:p w:rsidR="00B41CAA" w:rsidRPr="00224ADE" w:rsidRDefault="00B41CAA" w:rsidP="00B41CAA">
      <w:pPr>
        <w:pStyle w:val="Ttulo1"/>
        <w:rPr>
          <w:rFonts w:ascii="Times New Roman" w:hAnsi="Times New Roman"/>
        </w:rPr>
      </w:pPr>
      <w:r w:rsidRPr="00224ADE">
        <w:rPr>
          <w:rFonts w:ascii="Times New Roman" w:hAnsi="Times New Roman"/>
          <w:noProof/>
          <w:lang w:val="es-EC" w:eastAsia="es-EC"/>
        </w:rPr>
        <w:drawing>
          <wp:anchor distT="0" distB="0" distL="114300" distR="114300" simplePos="0" relativeHeight="251666432" behindDoc="0" locked="0" layoutInCell="1" allowOverlap="1">
            <wp:simplePos x="0" y="0"/>
            <wp:positionH relativeFrom="column">
              <wp:posOffset>-189865</wp:posOffset>
            </wp:positionH>
            <wp:positionV relativeFrom="paragraph">
              <wp:posOffset>3149600</wp:posOffset>
            </wp:positionV>
            <wp:extent cx="6132830" cy="1075055"/>
            <wp:effectExtent l="0" t="0" r="1270" b="0"/>
            <wp:wrapSquare wrapText="bothSides"/>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32830" cy="1075055"/>
                    </a:xfrm>
                    <a:prstGeom prst="rect">
                      <a:avLst/>
                    </a:prstGeom>
                    <a:noFill/>
                    <a:ln>
                      <a:noFill/>
                    </a:ln>
                  </pic:spPr>
                </pic:pic>
              </a:graphicData>
            </a:graphic>
          </wp:anchor>
        </w:drawing>
      </w:r>
      <w:r w:rsidRPr="00224ADE">
        <w:rPr>
          <w:rFonts w:ascii="Times New Roman" w:hAnsi="Times New Roman"/>
          <w:noProof/>
          <w:lang w:val="es-EC" w:eastAsia="es-EC"/>
        </w:rPr>
        <w:drawing>
          <wp:inline distT="0" distB="0" distL="0" distR="0">
            <wp:extent cx="5731510" cy="2787025"/>
            <wp:effectExtent l="0" t="0" r="254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2787025"/>
                    </a:xfrm>
                    <a:prstGeom prst="rect">
                      <a:avLst/>
                    </a:prstGeom>
                    <a:noFill/>
                    <a:ln>
                      <a:noFill/>
                    </a:ln>
                  </pic:spPr>
                </pic:pic>
              </a:graphicData>
            </a:graphic>
          </wp:inline>
        </w:drawing>
      </w:r>
    </w:p>
    <w:p w:rsidR="00B41CAA" w:rsidRPr="00224ADE" w:rsidRDefault="00B41CAA" w:rsidP="00B41CAA"/>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Ingresos por Establecimiento</w:t>
      </w:r>
    </w:p>
    <w:p w:rsidR="00B41CAA" w:rsidRPr="00224ADE" w:rsidRDefault="00B41CAA" w:rsidP="00B41CAA">
      <w:r w:rsidRPr="00224ADE">
        <w:t>Este otro gráfico muy representativo, responde a la pregunta: ¿cuál es el tipo de actividad es la que da los mejores beneficios? La respuesta entonces será en promedio, los establecimientos que más ganan, con una diferencia abismal, son los que se dedican a la fabricación de sustancias medicinales, con $ 75’400.000 aproximadamente anuales (dato del 2009); esta dicha en promedio la tienen 51 establecimientos que conforman el sector. Luego viene el segundo mejor negocio, el cual es la venta al por mayor de productos farmacéuticos, con un promedio por establecimiento de 18’000.000 USD por año (dato del 2009). El siguiente mejor negocio es ser el monopolio de la producción de sustancias radioactivas y productos de biotecnología, con un ingreso al año 2009 de diez millones de dólares.</w:t>
      </w:r>
    </w:p>
    <w:p w:rsidR="00B41CAA" w:rsidRPr="00224ADE" w:rsidRDefault="00B41CAA" w:rsidP="00B41CAA"/>
    <w:p w:rsidR="00B41CAA" w:rsidRPr="00224ADE" w:rsidRDefault="00B41CAA" w:rsidP="00B41CAA">
      <w:pPr>
        <w:pStyle w:val="Ttulo1"/>
        <w:rPr>
          <w:rFonts w:ascii="Times New Roman" w:hAnsi="Times New Roman"/>
        </w:rPr>
      </w:pPr>
      <w:r w:rsidRPr="00224ADE">
        <w:rPr>
          <w:rFonts w:ascii="Times New Roman" w:hAnsi="Times New Roman"/>
          <w:noProof/>
          <w:lang w:val="es-EC" w:eastAsia="es-EC"/>
        </w:rPr>
        <w:drawing>
          <wp:inline distT="0" distB="0" distL="0" distR="0">
            <wp:extent cx="5709134" cy="2751826"/>
            <wp:effectExtent l="0" t="0" r="6350" b="0"/>
            <wp:docPr id="93" name="Imagen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0709" cy="2752585"/>
                    </a:xfrm>
                    <a:prstGeom prst="rect">
                      <a:avLst/>
                    </a:prstGeom>
                    <a:noFill/>
                    <a:ln>
                      <a:noFill/>
                    </a:ln>
                  </pic:spPr>
                </pic:pic>
              </a:graphicData>
            </a:graphic>
          </wp:inline>
        </w:drawing>
      </w:r>
      <w:r w:rsidRPr="00224ADE">
        <w:rPr>
          <w:rFonts w:ascii="Times New Roman" w:hAnsi="Times New Roman"/>
        </w:rPr>
        <w:br w:type="page"/>
      </w:r>
    </w:p>
    <w:p w:rsidR="00B41CAA" w:rsidRPr="00224ADE" w:rsidRDefault="00B41CAA" w:rsidP="00B41CAA">
      <w:pPr>
        <w:pStyle w:val="Ttulo1"/>
        <w:rPr>
          <w:rFonts w:ascii="Times New Roman" w:hAnsi="Times New Roman"/>
        </w:rPr>
      </w:pPr>
      <w:r w:rsidRPr="00224ADE">
        <w:rPr>
          <w:rFonts w:ascii="Times New Roman" w:hAnsi="Times New Roman"/>
        </w:rPr>
        <w:t>Relación entre Ingresos y Número de Empresas, Concentración.</w:t>
      </w:r>
    </w:p>
    <w:p w:rsidR="00B41CAA" w:rsidRPr="00224ADE" w:rsidRDefault="00B41CAA" w:rsidP="00B41CAA">
      <w:r w:rsidRPr="00224ADE">
        <w:t>La mejor forma manifiesta de la concentración del ingreso entre los subsectores de la salud, es el gráfico continuo. Muestra en cuantas empresas o establecimientos se concentra el ingreso por subsector. El subsector con más cantidad de establecimientos, los servicios, tiene la menor cantidad de ingresos, mientras que el sector del comercio que es un poco más de la mitad del anterior, tiene la mayor parte del ingreso total. Pero sin duda, la industria y fabricación de productos de salud es el subsector afortunado, en la gráfica incluso no se puede notar la cantidad de establecimientos debido a que apenas son 65 (0.26% del total de establecimientos) que concentran el 34% de todo el ingreso por ventas y servicios del sector Salud del Ecuador.</w:t>
      </w:r>
    </w:p>
    <w:p w:rsidR="00B41CAA" w:rsidRPr="00224ADE" w:rsidRDefault="00B41CAA" w:rsidP="00B41CAA"/>
    <w:p w:rsidR="00B41CAA" w:rsidRPr="00224ADE" w:rsidRDefault="00B41CAA" w:rsidP="00B41CAA">
      <w:r w:rsidRPr="00224ADE">
        <w:rPr>
          <w:noProof/>
          <w:lang w:val="es-EC" w:eastAsia="es-EC"/>
        </w:rPr>
        <w:drawing>
          <wp:inline distT="0" distB="0" distL="0" distR="0">
            <wp:extent cx="5879693" cy="3071003"/>
            <wp:effectExtent l="0" t="0" r="698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80164" cy="3071249"/>
                    </a:xfrm>
                    <a:prstGeom prst="rect">
                      <a:avLst/>
                    </a:prstGeom>
                    <a:noFill/>
                    <a:ln>
                      <a:noFill/>
                    </a:ln>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Curva de Lorenz y Coeficiente de Gini</w:t>
      </w:r>
    </w:p>
    <w:p w:rsidR="00B41CAA" w:rsidRPr="00224ADE" w:rsidRDefault="00B41CAA" w:rsidP="00B41CAA">
      <w:pPr>
        <w:jc w:val="both"/>
      </w:pPr>
      <w:r w:rsidRPr="00224ADE">
        <w:t>Como ya habíamos explicado antes el mecanismo de la curva de Lorenz y el coeficiente de Gini, no es necesario repetirlo.</w:t>
      </w:r>
    </w:p>
    <w:p w:rsidR="00B41CAA" w:rsidRPr="00224ADE" w:rsidRDefault="00B41CAA" w:rsidP="00B41CAA">
      <w:pPr>
        <w:jc w:val="both"/>
      </w:pPr>
      <w:r w:rsidRPr="00224ADE">
        <w:t>La inequidad entre actividades de la salud evidente y extrema cuando observamos la curva de Lorenz. Pero al echar un vistazo al coeficiente de Gini, vemos uno menor al que observábamos en la distribución de ingreso por provincia del subsector servicios de Salud. Aunque parezca un error de cálculo, no es así, se debe en realidad a una de las críticas que se le hace este indicador de inequidad, la cual consiste en que, si en la parte alta de la distribución, es decir entre la población de los más ricos la distribución es cuasi-equitativa, entonces el coeficiente bajará. Y justamente eso es lo que pasa en este caso. Los sectores: Consulta y tratamiento por médicos generales y especialistas, y Venta al por menor de productos farmacéuticos en establecimientos especializados, son los 4° y 3er rubros que más ingresan y forman el 55% de la población total de los subsectores. Entonces, a pesar que al final 65 de 24.700 ingresan el 34% del ingreso, y las siguientes 180 empresas acumulen el 28% del total, las dos actividades primero citadas, hacen una forma de colchón y mejoran el índice.</w:t>
      </w:r>
    </w:p>
    <w:p w:rsidR="00B41CAA" w:rsidRPr="00224ADE" w:rsidRDefault="00B41CAA" w:rsidP="00B41CAA">
      <w:pPr>
        <w:jc w:val="both"/>
      </w:pPr>
      <w:r w:rsidRPr="00224ADE">
        <w:t>Sin embargo de lo anterior, el coeficiente de gini es sumamente alto, lo cual si nos da a la luz la gran concentración de ingresos que existe en el sector Salud del Ecuador.</w:t>
      </w:r>
    </w:p>
    <w:p w:rsidR="00B41CAA" w:rsidRPr="00224ADE" w:rsidRDefault="00B41CAA" w:rsidP="00B41CAA">
      <w:r w:rsidRPr="00224ADE">
        <w:rPr>
          <w:noProof/>
          <w:lang w:val="es-EC" w:eastAsia="es-EC"/>
        </w:rPr>
        <w:drawing>
          <wp:inline distT="0" distB="0" distL="0" distR="0">
            <wp:extent cx="5391785" cy="30295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785" cy="3029585"/>
                    </a:xfrm>
                    <a:prstGeom prst="rect">
                      <a:avLst/>
                    </a:prstGeom>
                    <a:noFill/>
                  </pic:spPr>
                </pic:pic>
              </a:graphicData>
            </a:graphic>
          </wp:inline>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Valor Agregado</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731510" cy="3223045"/>
            <wp:effectExtent l="0" t="0" r="2540" b="0"/>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31510" cy="3223045"/>
                    </a:xfrm>
                    <a:prstGeom prst="rect">
                      <a:avLst/>
                    </a:prstGeom>
                    <a:noFill/>
                    <a:ln>
                      <a:noFill/>
                    </a:ln>
                  </pic:spPr>
                </pic:pic>
              </a:graphicData>
            </a:graphic>
          </wp:inline>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Valor Agregado por Establecimiento</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anchor distT="0" distB="0" distL="114300" distR="114300" simplePos="0" relativeHeight="251667456" behindDoc="0" locked="0" layoutInCell="1" allowOverlap="1">
            <wp:simplePos x="0" y="0"/>
            <wp:positionH relativeFrom="column">
              <wp:posOffset>-526415</wp:posOffset>
            </wp:positionH>
            <wp:positionV relativeFrom="paragraph">
              <wp:posOffset>239395</wp:posOffset>
            </wp:positionV>
            <wp:extent cx="6844665" cy="2919095"/>
            <wp:effectExtent l="0" t="0" r="0" b="0"/>
            <wp:wrapSquare wrapText="bothSides"/>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844665" cy="2919095"/>
                    </a:xfrm>
                    <a:prstGeom prst="rect">
                      <a:avLst/>
                    </a:prstGeom>
                    <a:noFill/>
                    <a:ln>
                      <a:noFill/>
                    </a:ln>
                  </pic:spPr>
                </pic:pic>
              </a:graphicData>
            </a:graphic>
          </wp:anchor>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noProof/>
          <w:lang w:val="es-EC" w:eastAsia="es-EC"/>
        </w:rPr>
        <w:drawing>
          <wp:anchor distT="0" distB="0" distL="114300" distR="114300" simplePos="0" relativeHeight="251668480" behindDoc="0" locked="0" layoutInCell="1" allowOverlap="1">
            <wp:simplePos x="0" y="0"/>
            <wp:positionH relativeFrom="column">
              <wp:posOffset>-353695</wp:posOffset>
            </wp:positionH>
            <wp:positionV relativeFrom="paragraph">
              <wp:posOffset>1099820</wp:posOffset>
            </wp:positionV>
            <wp:extent cx="6425565" cy="3139440"/>
            <wp:effectExtent l="0" t="0" r="0" b="3810"/>
            <wp:wrapSquare wrapText="bothSides"/>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425565" cy="3139440"/>
                    </a:xfrm>
                    <a:prstGeom prst="rect">
                      <a:avLst/>
                    </a:prstGeom>
                    <a:noFill/>
                    <a:ln>
                      <a:noFill/>
                    </a:ln>
                  </pic:spPr>
                </pic:pic>
              </a:graphicData>
            </a:graphic>
          </wp:anchor>
        </w:drawing>
      </w:r>
      <w:r w:rsidRPr="00224ADE">
        <w:rPr>
          <w:rFonts w:ascii="Times New Roman" w:hAnsi="Times New Roman"/>
        </w:rPr>
        <w:t>Establecimientos que generan pérdida</w:t>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Comparativo Valor Agregado por Empresa entre Subsectores</w:t>
      </w:r>
    </w:p>
    <w:p w:rsidR="00B41CAA" w:rsidRPr="00224ADE" w:rsidRDefault="00B41CAA" w:rsidP="00B41CAA"/>
    <w:p w:rsidR="00B41CAA" w:rsidRPr="00224ADE" w:rsidRDefault="00B41CAA" w:rsidP="00B41CAA">
      <w:r w:rsidRPr="00224ADE">
        <w:rPr>
          <w:noProof/>
          <w:lang w:val="es-EC" w:eastAsia="es-EC"/>
        </w:rPr>
        <w:drawing>
          <wp:inline distT="0" distB="0" distL="0" distR="0">
            <wp:extent cx="5731510" cy="2690836"/>
            <wp:effectExtent l="0" t="0" r="2540" b="0"/>
            <wp:docPr id="100" name="Imagen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31510" cy="2690836"/>
                    </a:xfrm>
                    <a:prstGeom prst="rect">
                      <a:avLst/>
                    </a:prstGeom>
                    <a:noFill/>
                    <a:ln>
                      <a:noFill/>
                    </a:ln>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Financiamiento bruto</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731510" cy="2428002"/>
            <wp:effectExtent l="0" t="0" r="2540" b="0"/>
            <wp:docPr id="102" name="Imagen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31510" cy="2428002"/>
                    </a:xfrm>
                    <a:prstGeom prst="rect">
                      <a:avLst/>
                    </a:prstGeom>
                    <a:noFill/>
                    <a:ln>
                      <a:noFill/>
                    </a:ln>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Financiamiento por Establecimiento</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731510" cy="2501817"/>
            <wp:effectExtent l="0" t="0" r="2540" b="0"/>
            <wp:docPr id="103" name="Imagen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31510" cy="2501817"/>
                    </a:xfrm>
                    <a:prstGeom prst="rect">
                      <a:avLst/>
                    </a:prstGeom>
                    <a:noFill/>
                    <a:ln>
                      <a:noFill/>
                    </a:ln>
                  </pic:spPr>
                </pic:pic>
              </a:graphicData>
            </a:graphic>
          </wp:inline>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Apertura de crédito para subsectores, comparativo</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731510" cy="2804108"/>
            <wp:effectExtent l="0" t="0" r="2540" b="0"/>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804108"/>
                    </a:xfrm>
                    <a:prstGeom prst="rect">
                      <a:avLst/>
                    </a:prstGeom>
                    <a:noFill/>
                    <a:ln>
                      <a:noFill/>
                    </a:ln>
                  </pic:spPr>
                </pic:pic>
              </a:graphicData>
            </a:graphic>
          </wp:inline>
        </w:drawing>
      </w:r>
    </w:p>
    <w:p w:rsidR="00B41CAA" w:rsidRPr="00224ADE" w:rsidRDefault="00B41CAA" w:rsidP="00B41CAA"/>
    <w:p w:rsidR="00B41CAA" w:rsidRPr="00224ADE" w:rsidRDefault="00B41CAA" w:rsidP="00B41CAA"/>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noProof/>
          <w:lang w:val="es-EC" w:eastAsia="es-EC"/>
        </w:rPr>
        <w:drawing>
          <wp:anchor distT="0" distB="0" distL="114300" distR="114300" simplePos="0" relativeHeight="251669504" behindDoc="0" locked="0" layoutInCell="1" allowOverlap="1">
            <wp:simplePos x="0" y="0"/>
            <wp:positionH relativeFrom="column">
              <wp:posOffset>-250825</wp:posOffset>
            </wp:positionH>
            <wp:positionV relativeFrom="paragraph">
              <wp:posOffset>785495</wp:posOffset>
            </wp:positionV>
            <wp:extent cx="6429375" cy="3139440"/>
            <wp:effectExtent l="0" t="0" r="9525" b="3810"/>
            <wp:wrapSquare wrapText="bothSides"/>
            <wp:docPr id="106" name="Imagen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429375" cy="3139440"/>
                    </a:xfrm>
                    <a:prstGeom prst="rect">
                      <a:avLst/>
                    </a:prstGeom>
                    <a:noFill/>
                    <a:ln>
                      <a:noFill/>
                    </a:ln>
                  </pic:spPr>
                </pic:pic>
              </a:graphicData>
            </a:graphic>
          </wp:anchor>
        </w:drawing>
      </w:r>
      <w:r w:rsidRPr="00224ADE">
        <w:rPr>
          <w:rFonts w:ascii="Times New Roman" w:hAnsi="Times New Roman"/>
        </w:rPr>
        <w:t>Tipo de Establecimientos que fueron financiados más de lo requerido</w:t>
      </w:r>
    </w:p>
    <w:p w:rsidR="00B41CAA" w:rsidRPr="00224ADE" w:rsidRDefault="00B41CAA" w:rsidP="00B41CAA"/>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Personal Ocupado.</w:t>
      </w:r>
    </w:p>
    <w:p w:rsidR="00B41CAA" w:rsidRPr="00224ADE" w:rsidRDefault="00B41CAA" w:rsidP="00B41CAA"/>
    <w:p w:rsidR="00B41CAA" w:rsidRPr="00224ADE" w:rsidRDefault="00B41CAA" w:rsidP="00B41CAA">
      <w:r w:rsidRPr="00224ADE">
        <w:rPr>
          <w:noProof/>
          <w:lang w:val="es-EC" w:eastAsia="es-EC"/>
        </w:rPr>
        <w:drawing>
          <wp:inline distT="0" distB="0" distL="0" distR="0">
            <wp:extent cx="5486400" cy="2942521"/>
            <wp:effectExtent l="0" t="0" r="0" b="0"/>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486363" cy="2942501"/>
                    </a:xfrm>
                    <a:prstGeom prst="rect">
                      <a:avLst/>
                    </a:prstGeom>
                    <a:noFill/>
                    <a:ln>
                      <a:noFill/>
                    </a:ln>
                  </pic:spPr>
                </pic:pic>
              </a:graphicData>
            </a:graphic>
          </wp:inline>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Personal Ocupado. Comparativo entre subsectores</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762445" cy="3090573"/>
            <wp:effectExtent l="0" t="0" r="0" b="0"/>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62406" cy="3090552"/>
                    </a:xfrm>
                    <a:prstGeom prst="rect">
                      <a:avLst/>
                    </a:prstGeom>
                    <a:noFill/>
                    <a:ln>
                      <a:noFill/>
                    </a:ln>
                  </pic:spPr>
                </pic:pic>
              </a:graphicData>
            </a:graphic>
          </wp:inline>
        </w:drawing>
      </w:r>
    </w:p>
    <w:p w:rsidR="00B41CAA" w:rsidRPr="00224ADE" w:rsidRDefault="00B41CAA" w:rsidP="00B41CAA"/>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Remuneraciones por personal ocupado</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495925" cy="3389644"/>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495925" cy="3389644"/>
                    </a:xfrm>
                    <a:prstGeom prst="rect">
                      <a:avLst/>
                    </a:prstGeom>
                    <a:noFill/>
                    <a:ln>
                      <a:noFill/>
                    </a:ln>
                  </pic:spPr>
                </pic:pic>
              </a:graphicData>
            </a:graphic>
          </wp:inline>
        </w:drawing>
      </w:r>
    </w:p>
    <w:p w:rsidR="00B41CAA" w:rsidRPr="00224ADE" w:rsidRDefault="00B41CAA" w:rsidP="00B41CAA">
      <w:r w:rsidRPr="00224ADE">
        <w:br w:type="page"/>
      </w:r>
    </w:p>
    <w:p w:rsidR="00B41CAA" w:rsidRPr="00224ADE" w:rsidRDefault="00B41CAA" w:rsidP="00B41CAA">
      <w:pPr>
        <w:pStyle w:val="Ttulo1"/>
        <w:rPr>
          <w:rFonts w:ascii="Times New Roman" w:hAnsi="Times New Roman"/>
        </w:rPr>
      </w:pPr>
      <w:r w:rsidRPr="00224ADE">
        <w:rPr>
          <w:rFonts w:ascii="Times New Roman" w:hAnsi="Times New Roman"/>
        </w:rPr>
        <w:t>Representación de las remuneraciones en los ingresos</w:t>
      </w:r>
    </w:p>
    <w:p w:rsidR="00B41CAA" w:rsidRPr="00224ADE" w:rsidRDefault="00B41CAA" w:rsidP="00B41CAA"/>
    <w:p w:rsidR="00B41CAA" w:rsidRPr="00224ADE" w:rsidRDefault="00B41CAA" w:rsidP="00B41CAA"/>
    <w:p w:rsidR="00B41CAA" w:rsidRPr="00224ADE" w:rsidRDefault="00B41CAA" w:rsidP="00B41CAA">
      <w:r w:rsidRPr="00224ADE">
        <w:rPr>
          <w:noProof/>
          <w:lang w:val="es-EC" w:eastAsia="es-EC"/>
        </w:rPr>
        <w:drawing>
          <wp:inline distT="0" distB="0" distL="0" distR="0">
            <wp:extent cx="5343525" cy="3152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43525" cy="3152775"/>
                    </a:xfrm>
                    <a:prstGeom prst="rect">
                      <a:avLst/>
                    </a:prstGeom>
                    <a:noFill/>
                    <a:ln>
                      <a:noFill/>
                    </a:ln>
                  </pic:spPr>
                </pic:pic>
              </a:graphicData>
            </a:graphic>
          </wp:inline>
        </w:drawing>
      </w:r>
    </w:p>
    <w:p w:rsidR="00B41CAA" w:rsidRPr="00224ADE" w:rsidRDefault="00B41CAA" w:rsidP="00B41CAA"/>
    <w:p w:rsidR="00B41CAA" w:rsidRDefault="00B41CAA"/>
    <w:p w:rsidR="00134024" w:rsidRDefault="00134024">
      <w:r>
        <w:br w:type="page"/>
      </w:r>
    </w:p>
    <w:p w:rsidR="00134024" w:rsidRPr="00CB4794" w:rsidRDefault="00134024" w:rsidP="00134024">
      <w:pPr>
        <w:jc w:val="center"/>
        <w:rPr>
          <w:rFonts w:eastAsiaTheme="majorEastAsia" w:cstheme="majorBidi"/>
          <w:bCs/>
          <w:szCs w:val="28"/>
        </w:rPr>
      </w:pPr>
      <w:r w:rsidRPr="00CB4794">
        <w:rPr>
          <w:rFonts w:eastAsiaTheme="majorEastAsia" w:cstheme="majorBidi"/>
          <w:bCs/>
          <w:szCs w:val="28"/>
        </w:rPr>
        <w:t>Capítulo 4</w:t>
      </w:r>
    </w:p>
    <w:p w:rsidR="00134024" w:rsidRPr="00CB4794" w:rsidRDefault="00134024" w:rsidP="00134024">
      <w:pPr>
        <w:jc w:val="center"/>
        <w:rPr>
          <w:rFonts w:eastAsiaTheme="majorEastAsia" w:cstheme="majorBidi"/>
          <w:bCs/>
          <w:szCs w:val="28"/>
        </w:rPr>
      </w:pPr>
      <w:r w:rsidRPr="00CB4794">
        <w:rPr>
          <w:rFonts w:eastAsiaTheme="majorEastAsia" w:cstheme="majorBidi"/>
          <w:bCs/>
          <w:szCs w:val="28"/>
        </w:rPr>
        <w:t>Concentración y centralización del capital en el sector salud: empresas y grupos financieros</w:t>
      </w:r>
    </w:p>
    <w:p w:rsidR="00134024" w:rsidRPr="00CB4794" w:rsidRDefault="00134024" w:rsidP="00134024">
      <w:pPr>
        <w:rPr>
          <w:rFonts w:eastAsiaTheme="majorEastAsia" w:cstheme="majorBidi"/>
          <w:b/>
          <w:bCs/>
          <w:sz w:val="28"/>
          <w:szCs w:val="28"/>
        </w:rPr>
      </w:pPr>
    </w:p>
    <w:p w:rsidR="00134024" w:rsidRPr="00CB4794" w:rsidRDefault="00134024" w:rsidP="00134024">
      <w:pPr>
        <w:pStyle w:val="Ttulo1"/>
        <w:rPr>
          <w:rFonts w:ascii="Times New Roman" w:hAnsi="Times New Roman"/>
          <w:color w:val="auto"/>
        </w:rPr>
      </w:pPr>
      <w:bookmarkStart w:id="1" w:name="_Toc310863219"/>
      <w:bookmarkStart w:id="2" w:name="_Toc310868892"/>
      <w:r w:rsidRPr="00CB4794">
        <w:rPr>
          <w:rFonts w:ascii="Times New Roman" w:hAnsi="Times New Roman"/>
          <w:color w:val="auto"/>
        </w:rPr>
        <w:t>MARCO TEÓRICO</w:t>
      </w:r>
      <w:bookmarkEnd w:id="1"/>
      <w:bookmarkEnd w:id="2"/>
    </w:p>
    <w:p w:rsidR="00134024" w:rsidRPr="00CB4794" w:rsidRDefault="00134024" w:rsidP="00134024">
      <w:pPr>
        <w:pStyle w:val="Ttulo2"/>
        <w:spacing w:line="240" w:lineRule="auto"/>
        <w:rPr>
          <w:rFonts w:ascii="Times New Roman" w:hAnsi="Times New Roman"/>
          <w:color w:val="auto"/>
        </w:rPr>
      </w:pPr>
    </w:p>
    <w:p w:rsidR="00134024" w:rsidRPr="00CB4794" w:rsidRDefault="00134024" w:rsidP="00134024">
      <w:pPr>
        <w:pStyle w:val="Ttulo2"/>
        <w:spacing w:line="240" w:lineRule="auto"/>
        <w:rPr>
          <w:rFonts w:ascii="Times New Roman" w:hAnsi="Times New Roman"/>
          <w:color w:val="auto"/>
        </w:rPr>
      </w:pPr>
      <w:bookmarkStart w:id="3" w:name="_Toc310863220"/>
      <w:bookmarkStart w:id="4" w:name="_Toc310868893"/>
      <w:r w:rsidRPr="00CB4794">
        <w:rPr>
          <w:rFonts w:ascii="Times New Roman" w:hAnsi="Times New Roman"/>
          <w:color w:val="auto"/>
        </w:rPr>
        <w:t>INDICE HERFINDAHL-HIRSCHMANN (IHH)</w:t>
      </w:r>
      <w:bookmarkEnd w:id="3"/>
      <w:bookmarkEnd w:id="4"/>
    </w:p>
    <w:p w:rsidR="00134024" w:rsidRPr="00CB4794" w:rsidRDefault="00134024" w:rsidP="00134024">
      <w:r w:rsidRPr="00CB4794">
        <w:rPr>
          <w:rStyle w:val="Refdenotaalpie"/>
          <w:rFonts w:eastAsiaTheme="majorEastAsia"/>
        </w:rPr>
        <w:footnoteReference w:id="14"/>
      </w:r>
      <w:r w:rsidRPr="00CB4794">
        <w:t>Este es un índice específico de la concentración del mercado, es decir es la medida en que un pequeño número de empresas representa una parte importante de la producción. Este índice se utiliza como un indicador posible del poder de mercado o de la competencia entre empresas. Por otro lado cuanto más alto sea el IHH de un mercado determinado, mayor será la concentración de la producción en un pequeño número de empresas. En términos generales, la concentración del mercado puede considerarse baja si el IHH es inferior a 1 000; moderada si se sitúa entre 1 000 y 1800; y alta si es superior a 1 800. Cuanto más alto sea el HHI de un determinado mercado, mayor  será la concentración de un pequeño número de empresas.</w:t>
      </w:r>
    </w:p>
    <w:p w:rsidR="00134024" w:rsidRPr="00CB4794" w:rsidRDefault="00134024" w:rsidP="00134024"/>
    <w:p w:rsidR="00134024" w:rsidRPr="00CB4794" w:rsidRDefault="00134024" w:rsidP="00134024">
      <w:pPr>
        <w:pStyle w:val="Ttulo2"/>
        <w:spacing w:line="240" w:lineRule="auto"/>
        <w:rPr>
          <w:rFonts w:ascii="Times New Roman" w:hAnsi="Times New Roman"/>
          <w:color w:val="auto"/>
        </w:rPr>
      </w:pPr>
      <w:bookmarkStart w:id="5" w:name="_Toc310863221"/>
      <w:bookmarkStart w:id="6" w:name="_Toc310868894"/>
      <w:r w:rsidRPr="00CB4794">
        <w:rPr>
          <w:rFonts w:ascii="Times New Roman" w:hAnsi="Times New Roman"/>
          <w:color w:val="auto"/>
        </w:rPr>
        <w:t>INDICE C4</w:t>
      </w:r>
      <w:bookmarkEnd w:id="5"/>
      <w:bookmarkEnd w:id="6"/>
    </w:p>
    <w:p w:rsidR="00134024" w:rsidRPr="00CB4794" w:rsidRDefault="00134024" w:rsidP="00134024"/>
    <w:p w:rsidR="00134024" w:rsidRPr="00CB4794" w:rsidRDefault="00134024" w:rsidP="00134024">
      <w:pPr>
        <w:jc w:val="both"/>
      </w:pPr>
      <w:r w:rsidRPr="00CB4794">
        <w:t>El índice C4 se define como la participación relativa acumulada de la industria de las cuatros firmas de mayor volumen, el resultado se encuentra entre 0 y 1, en donde los valores muy cercanos a cero evidencian un alto grado de competencia y los muy cercanos a uno indican una estructura con características monopólicas. Este índice mide el nivel de concentración de cuatro de las firmas más grandes dentro de una industria o sector. El objetivo de este índice es obtener la concentración total en monopolio, o si no existe en competencia perfecta.</w:t>
      </w:r>
    </w:p>
    <w:p w:rsidR="00134024" w:rsidRPr="00CB4794" w:rsidRDefault="00134024" w:rsidP="00134024">
      <w:pPr>
        <w:jc w:val="both"/>
      </w:pPr>
      <w:r w:rsidRPr="00CB4794">
        <w:t xml:space="preserve"> El objetivo de esta de este trabajo es medir la concentración de clínicas y hospitales,  laboratorios, importación y exportación de productos farmacéutico e importación y exportación de productos químicos. </w:t>
      </w:r>
    </w:p>
    <w:p w:rsidR="00134024" w:rsidRPr="00CB4794" w:rsidRDefault="00134024" w:rsidP="00134024"/>
    <w:p w:rsidR="00134024" w:rsidRPr="00CB4794" w:rsidRDefault="00134024" w:rsidP="00134024">
      <w:pPr>
        <w:jc w:val="both"/>
      </w:pPr>
      <w:r w:rsidRPr="00CB4794">
        <w:t>El análisis del presente trabajo se enfoca en medir la concentración de capital que existe entre las principales clínicas y hospitales, laboratorios, importadoras de productos químicos y farmacéuticas, con el objetivo de saber  que empresas con las que concentran el capital y cuales son sus accionistas.</w:t>
      </w:r>
    </w:p>
    <w:p w:rsidR="00134024" w:rsidRPr="00CB4794" w:rsidRDefault="00134024" w:rsidP="00134024">
      <w:pPr>
        <w:jc w:val="both"/>
        <w:rPr>
          <w:b/>
          <w:sz w:val="36"/>
          <w:szCs w:val="28"/>
        </w:rPr>
      </w:pPr>
    </w:p>
    <w:p w:rsidR="00134024" w:rsidRPr="00CB4794" w:rsidRDefault="00134024" w:rsidP="00134024">
      <w:pPr>
        <w:rPr>
          <w:b/>
          <w:sz w:val="36"/>
          <w:szCs w:val="28"/>
        </w:rPr>
      </w:pPr>
    </w:p>
    <w:p w:rsidR="00134024" w:rsidRPr="00CB4794" w:rsidRDefault="00134024" w:rsidP="00134024">
      <w:pPr>
        <w:pStyle w:val="Ttulo2"/>
        <w:spacing w:line="240" w:lineRule="auto"/>
        <w:rPr>
          <w:rFonts w:ascii="Times New Roman" w:hAnsi="Times New Roman"/>
          <w:color w:val="auto"/>
        </w:rPr>
      </w:pPr>
      <w:bookmarkStart w:id="7" w:name="_Toc310863222"/>
      <w:bookmarkStart w:id="8" w:name="_Toc310868895"/>
      <w:r w:rsidRPr="00CB4794">
        <w:rPr>
          <w:rFonts w:ascii="Times New Roman" w:hAnsi="Times New Roman"/>
          <w:color w:val="auto"/>
        </w:rPr>
        <w:t>CLINICAS Y HOSPITALES DE QUITO Y GUAYAQUIL</w:t>
      </w:r>
      <w:bookmarkEnd w:id="7"/>
      <w:bookmarkEnd w:id="8"/>
    </w:p>
    <w:p w:rsidR="00134024" w:rsidRPr="00CB4794" w:rsidRDefault="00134024" w:rsidP="00134024">
      <w:pPr>
        <w:pStyle w:val="Ttulo3"/>
        <w:spacing w:line="240" w:lineRule="auto"/>
        <w:rPr>
          <w:rFonts w:ascii="Times New Roman" w:hAnsi="Times New Roman"/>
          <w:color w:val="auto"/>
        </w:rPr>
      </w:pPr>
      <w:bookmarkStart w:id="9" w:name="_Toc310863223"/>
      <w:bookmarkStart w:id="10" w:name="_Toc310868896"/>
      <w:r w:rsidRPr="00CB4794">
        <w:rPr>
          <w:rFonts w:ascii="Times New Roman" w:hAnsi="Times New Roman"/>
          <w:color w:val="auto"/>
        </w:rPr>
        <w:t>ANÁLISIS DEL ACTIVO DE CLÍNICAS Y HOSPITALES DE QUITO</w:t>
      </w:r>
      <w:bookmarkEnd w:id="9"/>
      <w:bookmarkEnd w:id="10"/>
    </w:p>
    <w:p w:rsidR="00134024" w:rsidRPr="00CB4794" w:rsidRDefault="00134024" w:rsidP="00134024">
      <w:pPr>
        <w:jc w:val="center"/>
      </w:pPr>
      <w:r w:rsidRPr="00CB4794">
        <w:t>CUADRO 1</w:t>
      </w:r>
    </w:p>
    <w:p w:rsidR="00134024" w:rsidRPr="00CB4794" w:rsidRDefault="00134024" w:rsidP="00134024">
      <w:pPr>
        <w:jc w:val="center"/>
      </w:pPr>
    </w:p>
    <w:p w:rsidR="00134024" w:rsidRPr="00CB4794" w:rsidRDefault="00134024" w:rsidP="00134024">
      <w:pPr>
        <w:jc w:val="center"/>
      </w:pPr>
    </w:p>
    <w:tbl>
      <w:tblPr>
        <w:tblStyle w:val="Sombreadoclaro-nfasis11"/>
        <w:tblpPr w:leftFromText="141" w:rightFromText="141" w:vertAnchor="page" w:horzAnchor="margin" w:tblpY="3889"/>
        <w:tblW w:w="9744" w:type="dxa"/>
        <w:tblLook w:val="04A0" w:firstRow="1" w:lastRow="0" w:firstColumn="1" w:lastColumn="0" w:noHBand="0" w:noVBand="1"/>
      </w:tblPr>
      <w:tblGrid>
        <w:gridCol w:w="2658"/>
        <w:gridCol w:w="1037"/>
        <w:gridCol w:w="1173"/>
        <w:gridCol w:w="1265"/>
        <w:gridCol w:w="1173"/>
        <w:gridCol w:w="1265"/>
        <w:gridCol w:w="1173"/>
      </w:tblGrid>
      <w:tr w:rsidR="00134024" w:rsidRPr="00CB479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744" w:type="dxa"/>
            <w:gridSpan w:val="7"/>
            <w:noWrap/>
          </w:tcPr>
          <w:p w:rsidR="00134024" w:rsidRPr="00CB4794" w:rsidRDefault="00134024" w:rsidP="00CB4794">
            <w:pPr>
              <w:jc w:val="center"/>
              <w:rPr>
                <w:rFonts w:ascii="Times New Roman" w:eastAsia="Times New Roman" w:hAnsi="Times New Roman" w:cs="Calibri"/>
                <w:b w:val="0"/>
                <w:bCs w:val="0"/>
                <w:color w:val="auto"/>
                <w:sz w:val="28"/>
                <w:szCs w:val="28"/>
                <w:lang w:eastAsia="es-EC"/>
              </w:rPr>
            </w:pPr>
            <w:r w:rsidRPr="00CB4794">
              <w:rPr>
                <w:rFonts w:ascii="Times New Roman" w:eastAsia="Times New Roman" w:hAnsi="Times New Roman" w:cs="Calibri"/>
                <w:color w:val="auto"/>
                <w:sz w:val="28"/>
                <w:szCs w:val="28"/>
                <w:lang w:eastAsia="es-EC"/>
              </w:rPr>
              <w:t>EVOLUCIÓN DEL ACTIVO 2005-2010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jc w:val="center"/>
              <w:rPr>
                <w:rFonts w:ascii="Times New Roman" w:eastAsia="Times New Roman" w:hAnsi="Times New Roman" w:cs="Calibri"/>
                <w:b w:val="0"/>
                <w:bCs w:val="0"/>
                <w:color w:val="auto"/>
                <w:sz w:val="28"/>
                <w:szCs w:val="28"/>
                <w:lang w:eastAsia="es-EC"/>
              </w:rPr>
            </w:pPr>
            <w:r w:rsidRPr="00CB4794">
              <w:rPr>
                <w:rFonts w:ascii="Times New Roman" w:eastAsia="Times New Roman" w:hAnsi="Times New Roman" w:cs="Calibri"/>
                <w:color w:val="auto"/>
                <w:sz w:val="28"/>
                <w:szCs w:val="28"/>
                <w:lang w:eastAsia="es-EC"/>
              </w:rPr>
              <w:t> </w:t>
            </w:r>
          </w:p>
        </w:tc>
        <w:tc>
          <w:tcPr>
            <w:tcW w:w="103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17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265"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17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265"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17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r w:rsidRPr="00CB4794">
              <w:rPr>
                <w:rFonts w:ascii="Times New Roman" w:eastAsia="Times New Roman" w:hAnsi="Times New Roman" w:cs="Calibri"/>
                <w:b/>
                <w:bCs/>
                <w:color w:val="auto"/>
                <w:sz w:val="28"/>
                <w:szCs w:val="28"/>
                <w:lang w:eastAsia="es-EC"/>
              </w:rPr>
              <w:t> </w:t>
            </w:r>
          </w:p>
        </w:tc>
      </w:tr>
      <w:tr w:rsidR="00134024" w:rsidRPr="00CB4794">
        <w:trPr>
          <w:trHeight w:val="37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jc w:val="center"/>
              <w:rPr>
                <w:rFonts w:ascii="Times New Roman" w:eastAsia="Times New Roman" w:hAnsi="Times New Roman" w:cs="Calibri"/>
                <w:b w:val="0"/>
                <w:bCs w:val="0"/>
                <w:color w:val="auto"/>
                <w:lang w:eastAsia="es-EC"/>
              </w:rPr>
            </w:pPr>
            <w:r w:rsidRPr="00CB4794">
              <w:rPr>
                <w:rFonts w:ascii="Times New Roman" w:eastAsia="Times New Roman" w:hAnsi="Times New Roman" w:cs="Calibri"/>
                <w:color w:val="auto"/>
                <w:lang w:eastAsia="es-EC"/>
              </w:rPr>
              <w:t>CLINIICAS Y HOPITALES</w:t>
            </w:r>
          </w:p>
        </w:tc>
        <w:tc>
          <w:tcPr>
            <w:tcW w:w="7086" w:type="dxa"/>
            <w:gridSpan w:val="6"/>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color w:val="auto"/>
                <w:sz w:val="28"/>
                <w:szCs w:val="28"/>
                <w:lang w:eastAsia="es-EC"/>
              </w:rPr>
            </w:pPr>
            <w:r w:rsidRPr="00CB4794">
              <w:rPr>
                <w:rFonts w:ascii="Times New Roman" w:eastAsia="Times New Roman" w:hAnsi="Times New Roman" w:cs="Calibri"/>
                <w:b/>
                <w:bCs/>
                <w:color w:val="auto"/>
                <w:sz w:val="28"/>
                <w:szCs w:val="28"/>
                <w:lang w:eastAsia="es-EC"/>
              </w:rPr>
              <w:t>AÑOS</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03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2005</w:t>
            </w:r>
          </w:p>
        </w:tc>
        <w:tc>
          <w:tcPr>
            <w:tcW w:w="117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2006</w:t>
            </w:r>
          </w:p>
        </w:tc>
        <w:tc>
          <w:tcPr>
            <w:tcW w:w="1265"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2007</w:t>
            </w:r>
          </w:p>
        </w:tc>
        <w:tc>
          <w:tcPr>
            <w:tcW w:w="117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2008</w:t>
            </w:r>
          </w:p>
        </w:tc>
        <w:tc>
          <w:tcPr>
            <w:tcW w:w="1265"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2009</w:t>
            </w:r>
          </w:p>
        </w:tc>
        <w:tc>
          <w:tcPr>
            <w:tcW w:w="117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2010</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MARÍA AUXILIADORA</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44.636,21</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43.098,33</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58.845,56</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279.404,60</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249.320,41</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CENTRO CEFAVIS  SANA S.A.</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14.186,05</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14.495,25</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GALENOSS.A</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545.333,25</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332.740,71</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300.935,38</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304.403,59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MODERNA CIA.LTDA</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113.760,26</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122.912,33</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222.902,66</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271.956,78</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OLIMPUS SASEBIS.A</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59.235,50</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53.533,73</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66.161,12</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14.845,65</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45.764,40</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46.474,52</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SAN GABRIEL  </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290.026,67</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254.408,10</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279.186,77</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265.876,25</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241.759,70</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CLIGEVISA CIA.LTDA</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18.192,20</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86.255,17</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78.783,09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CONOCOTO  </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2.390,31</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5.983,69</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51.358,96</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70.707,98</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CEMEDSSO CIA LTDA.</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121.371,87</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HOSPITAL INGLES CIA. LTDA.</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714.450,69</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2.605.959,73</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CENTRO CENTROMAMARIA </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92.355,40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NOVACLINICA</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2.679.610,67</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2.688.593,82</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3.910.648,53</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4.904.902,82</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6.073.585,36</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TECOCEL S.A.  </w:t>
            </w:r>
          </w:p>
        </w:tc>
        <w:tc>
          <w:tcPr>
            <w:tcW w:w="103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25.854.178,85</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39.503.619,14</w:t>
            </w:r>
          </w:p>
        </w:tc>
        <w:tc>
          <w:tcPr>
            <w:tcW w:w="117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58"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INGLATERRA</w:t>
            </w:r>
          </w:p>
        </w:tc>
        <w:tc>
          <w:tcPr>
            <w:tcW w:w="103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117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r>
    </w:tbl>
    <w:p w:rsidR="00134024" w:rsidRPr="00CB4794" w:rsidRDefault="00134024" w:rsidP="00134024">
      <w:pPr>
        <w:contextualSpacing/>
      </w:pPr>
    </w:p>
    <w:p w:rsidR="00134024" w:rsidRPr="00CB4794" w:rsidRDefault="00134024" w:rsidP="00134024">
      <w:pPr>
        <w:contextualSpacing/>
      </w:pPr>
      <w:r w:rsidRPr="00CB4794">
        <w:t>FUENTE: Superintendencia de Compañías</w:t>
      </w:r>
    </w:p>
    <w:p w:rsidR="00134024" w:rsidRPr="00CB4794" w:rsidRDefault="00134024" w:rsidP="00134024">
      <w:pPr>
        <w:contextualSpacing/>
      </w:pPr>
      <w:r w:rsidRPr="00CB4794">
        <w:t>ELABORACIÓN: Instituto de Salud Pública-PUCE</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both"/>
      </w:pPr>
      <w:r w:rsidRPr="00CB4794">
        <w:t>De la información obtenida en la ciudad de Quito se tiene 14 clínicas y hospitales las cuales tienen esta evolución en su activo desde el año 2005 hasta el 2010.  Estas clínicas y hospitales de Quito son privadas y las importantes ya que son las que tienen más clientes.</w:t>
      </w:r>
    </w:p>
    <w:p w:rsidR="00134024" w:rsidRPr="00CB4794" w:rsidRDefault="00134024" w:rsidP="00134024">
      <w:pPr>
        <w:contextualSpacing/>
        <w:jc w:val="both"/>
      </w:pPr>
      <w:r w:rsidRPr="00CB4794">
        <w:t>Así mismo podemos observar en los valores que no todas presentan sus balances originales en la institución que regula esta información, muchas ellas presentan pérdidas en sus informes, pero en la realidad estas son las que realmente tienen grandes utilidades como TECOCCEL,  que cuenta con más de 100 accionistas y estos son accionistas de otras empresas  como laboratorios, importación de productos farmacéuticos. El resultado de esto es que no existe una transparencia en este mercado lo que ocasiona que no todos puedan competir claramente.</w:t>
      </w: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rPr>
        <w:t>CUADRO N°2</w:t>
      </w:r>
    </w:p>
    <w:p w:rsidR="00134024" w:rsidRPr="00CB4794" w:rsidRDefault="00134024" w:rsidP="00134024">
      <w:pPr>
        <w:pStyle w:val="Ttulo3"/>
        <w:spacing w:line="240" w:lineRule="auto"/>
        <w:rPr>
          <w:rFonts w:ascii="Times New Roman" w:hAnsi="Times New Roman"/>
          <w:color w:val="auto"/>
        </w:rPr>
      </w:pPr>
      <w:bookmarkStart w:id="11" w:name="_Toc310863224"/>
      <w:bookmarkStart w:id="12" w:name="_Toc310868897"/>
      <w:r w:rsidRPr="00CB4794">
        <w:rPr>
          <w:rFonts w:ascii="Times New Roman" w:hAnsi="Times New Roman"/>
          <w:color w:val="auto"/>
        </w:rPr>
        <w:t>CUADRO DE NIVEL DE CONCENTRACION</w:t>
      </w:r>
      <w:bookmarkEnd w:id="11"/>
      <w:bookmarkEnd w:id="12"/>
    </w:p>
    <w:p w:rsidR="00134024" w:rsidRPr="00CB4794" w:rsidRDefault="00134024" w:rsidP="00134024">
      <w:pPr>
        <w:contextualSpacing/>
      </w:pPr>
    </w:p>
    <w:tbl>
      <w:tblPr>
        <w:tblW w:w="4807" w:type="dxa"/>
        <w:jc w:val="center"/>
        <w:tblCellMar>
          <w:left w:w="70" w:type="dxa"/>
          <w:right w:w="70" w:type="dxa"/>
        </w:tblCellMar>
        <w:tblLook w:val="04A0" w:firstRow="1" w:lastRow="0" w:firstColumn="1" w:lastColumn="0" w:noHBand="0" w:noVBand="1"/>
      </w:tblPr>
      <w:tblGrid>
        <w:gridCol w:w="1258"/>
        <w:gridCol w:w="3322"/>
        <w:gridCol w:w="227"/>
      </w:tblGrid>
      <w:tr w:rsidR="00134024" w:rsidRPr="00CB4794">
        <w:trPr>
          <w:trHeight w:val="305"/>
          <w:jc w:val="center"/>
        </w:trPr>
        <w:tc>
          <w:tcPr>
            <w:tcW w:w="4807" w:type="dxa"/>
            <w:gridSpan w:val="3"/>
            <w:tcBorders>
              <w:top w:val="single" w:sz="8" w:space="0" w:color="auto"/>
              <w:left w:val="single" w:sz="8" w:space="0" w:color="auto"/>
              <w:bottom w:val="single" w:sz="4" w:space="0" w:color="auto"/>
              <w:right w:val="single" w:sz="8" w:space="0" w:color="000000"/>
            </w:tcBorders>
            <w:shd w:val="clear" w:color="auto" w:fill="auto"/>
            <w:noWrap/>
            <w:vAlign w:val="bottom"/>
          </w:tcPr>
          <w:p w:rsidR="00134024" w:rsidRPr="00CB4794" w:rsidRDefault="00134024" w:rsidP="00CB4794">
            <w:pPr>
              <w:jc w:val="center"/>
              <w:rPr>
                <w:rFonts w:cs="Calibri"/>
                <w:b/>
                <w:bCs/>
                <w:lang w:eastAsia="es-EC"/>
              </w:rPr>
            </w:pPr>
            <w:r w:rsidRPr="00CB4794">
              <w:rPr>
                <w:rFonts w:cs="Calibri"/>
                <w:b/>
                <w:bCs/>
                <w:lang w:eastAsia="es-EC"/>
              </w:rPr>
              <w:t>NIVEL DE CONCENTRACIÓN</w:t>
            </w:r>
          </w:p>
        </w:tc>
      </w:tr>
      <w:tr w:rsidR="00134024" w:rsidRPr="00CB4794">
        <w:trPr>
          <w:trHeight w:val="305"/>
          <w:jc w:val="center"/>
        </w:trPr>
        <w:tc>
          <w:tcPr>
            <w:tcW w:w="1258" w:type="dxa"/>
            <w:tcBorders>
              <w:top w:val="nil"/>
              <w:left w:val="single" w:sz="8" w:space="0" w:color="auto"/>
              <w:bottom w:val="single" w:sz="4" w:space="0" w:color="auto"/>
              <w:right w:val="single" w:sz="4" w:space="0" w:color="auto"/>
            </w:tcBorders>
            <w:shd w:val="clear" w:color="auto" w:fill="auto"/>
            <w:noWrap/>
            <w:vAlign w:val="bottom"/>
          </w:tcPr>
          <w:p w:rsidR="00134024" w:rsidRPr="00CB4794" w:rsidRDefault="00134024" w:rsidP="00CB4794">
            <w:pPr>
              <w:jc w:val="center"/>
              <w:rPr>
                <w:rFonts w:cs="Calibri"/>
                <w:lang w:eastAsia="es-EC"/>
              </w:rPr>
            </w:pPr>
            <w:r w:rsidRPr="00CB4794">
              <w:rPr>
                <w:rFonts w:cs="Calibri"/>
                <w:lang w:eastAsia="es-EC"/>
              </w:rPr>
              <w:t>&lt;  1000</w:t>
            </w:r>
          </w:p>
        </w:tc>
        <w:tc>
          <w:tcPr>
            <w:tcW w:w="3322" w:type="dxa"/>
            <w:tcBorders>
              <w:top w:val="nil"/>
              <w:left w:val="nil"/>
              <w:bottom w:val="single" w:sz="4" w:space="0" w:color="auto"/>
              <w:right w:val="single" w:sz="4" w:space="0" w:color="auto"/>
            </w:tcBorders>
            <w:shd w:val="clear" w:color="auto" w:fill="auto"/>
            <w:noWrap/>
            <w:vAlign w:val="bottom"/>
          </w:tcPr>
          <w:p w:rsidR="00134024" w:rsidRPr="00CB4794" w:rsidRDefault="00134024" w:rsidP="00CB4794">
            <w:pPr>
              <w:rPr>
                <w:rFonts w:cs="Calibri"/>
                <w:lang w:eastAsia="es-EC"/>
              </w:rPr>
            </w:pPr>
            <w:r w:rsidRPr="00CB4794">
              <w:rPr>
                <w:rFonts w:cs="Calibri"/>
                <w:lang w:eastAsia="es-EC"/>
              </w:rPr>
              <w:t>NO EXISTE CONCENTRACIÓN</w:t>
            </w:r>
          </w:p>
        </w:tc>
        <w:tc>
          <w:tcPr>
            <w:tcW w:w="226" w:type="dxa"/>
            <w:tcBorders>
              <w:top w:val="nil"/>
              <w:left w:val="nil"/>
              <w:bottom w:val="single" w:sz="4" w:space="0" w:color="auto"/>
              <w:right w:val="single" w:sz="8" w:space="0" w:color="auto"/>
            </w:tcBorders>
            <w:shd w:val="clear" w:color="auto" w:fill="auto"/>
            <w:noWrap/>
            <w:vAlign w:val="bottom"/>
          </w:tcPr>
          <w:p w:rsidR="00134024" w:rsidRPr="00CB4794" w:rsidRDefault="00134024" w:rsidP="00CB4794">
            <w:pPr>
              <w:rPr>
                <w:rFonts w:cs="Calibri"/>
                <w:lang w:eastAsia="es-EC"/>
              </w:rPr>
            </w:pPr>
            <w:r w:rsidRPr="00CB4794">
              <w:rPr>
                <w:rFonts w:cs="Calibri"/>
                <w:lang w:eastAsia="es-EC"/>
              </w:rPr>
              <w:t> </w:t>
            </w:r>
          </w:p>
        </w:tc>
      </w:tr>
      <w:tr w:rsidR="00134024" w:rsidRPr="00CB4794">
        <w:trPr>
          <w:trHeight w:val="305"/>
          <w:jc w:val="center"/>
        </w:trPr>
        <w:tc>
          <w:tcPr>
            <w:tcW w:w="1258" w:type="dxa"/>
            <w:tcBorders>
              <w:top w:val="nil"/>
              <w:left w:val="single" w:sz="8" w:space="0" w:color="auto"/>
              <w:bottom w:val="single" w:sz="4" w:space="0" w:color="auto"/>
              <w:right w:val="single" w:sz="4" w:space="0" w:color="auto"/>
            </w:tcBorders>
            <w:shd w:val="clear" w:color="auto" w:fill="auto"/>
            <w:noWrap/>
            <w:vAlign w:val="bottom"/>
          </w:tcPr>
          <w:p w:rsidR="00134024" w:rsidRPr="00CB4794" w:rsidRDefault="00134024" w:rsidP="00CB4794">
            <w:pPr>
              <w:jc w:val="center"/>
              <w:rPr>
                <w:rFonts w:cs="Calibri"/>
                <w:lang w:eastAsia="es-EC"/>
              </w:rPr>
            </w:pPr>
            <w:r w:rsidRPr="00CB4794">
              <w:rPr>
                <w:rFonts w:cs="Calibri"/>
                <w:lang w:eastAsia="es-EC"/>
              </w:rPr>
              <w:t>1000-1800</w:t>
            </w:r>
          </w:p>
        </w:tc>
        <w:tc>
          <w:tcPr>
            <w:tcW w:w="3322" w:type="dxa"/>
            <w:tcBorders>
              <w:top w:val="nil"/>
              <w:left w:val="nil"/>
              <w:bottom w:val="single" w:sz="4" w:space="0" w:color="auto"/>
              <w:right w:val="single" w:sz="4" w:space="0" w:color="auto"/>
            </w:tcBorders>
            <w:shd w:val="clear" w:color="auto" w:fill="auto"/>
            <w:noWrap/>
            <w:vAlign w:val="bottom"/>
          </w:tcPr>
          <w:p w:rsidR="00134024" w:rsidRPr="00CB4794" w:rsidRDefault="00134024" w:rsidP="00CB4794">
            <w:pPr>
              <w:rPr>
                <w:rFonts w:cs="Calibri"/>
                <w:lang w:eastAsia="es-EC"/>
              </w:rPr>
            </w:pPr>
            <w:r w:rsidRPr="00CB4794">
              <w:rPr>
                <w:rFonts w:cs="Calibri"/>
                <w:lang w:eastAsia="es-EC"/>
              </w:rPr>
              <w:t>CONCETRACIÓN</w:t>
            </w:r>
          </w:p>
        </w:tc>
        <w:tc>
          <w:tcPr>
            <w:tcW w:w="226" w:type="dxa"/>
            <w:tcBorders>
              <w:top w:val="nil"/>
              <w:left w:val="nil"/>
              <w:bottom w:val="single" w:sz="4" w:space="0" w:color="auto"/>
              <w:right w:val="single" w:sz="8" w:space="0" w:color="auto"/>
            </w:tcBorders>
            <w:shd w:val="clear" w:color="auto" w:fill="auto"/>
            <w:noWrap/>
            <w:vAlign w:val="bottom"/>
          </w:tcPr>
          <w:p w:rsidR="00134024" w:rsidRPr="00CB4794" w:rsidRDefault="00134024" w:rsidP="00CB4794">
            <w:pPr>
              <w:rPr>
                <w:rFonts w:cs="Calibri"/>
                <w:lang w:eastAsia="es-EC"/>
              </w:rPr>
            </w:pPr>
            <w:r w:rsidRPr="00CB4794">
              <w:rPr>
                <w:rFonts w:cs="Calibri"/>
                <w:lang w:eastAsia="es-EC"/>
              </w:rPr>
              <w:t> </w:t>
            </w:r>
          </w:p>
        </w:tc>
      </w:tr>
      <w:tr w:rsidR="00134024" w:rsidRPr="00CB4794">
        <w:trPr>
          <w:trHeight w:val="320"/>
          <w:jc w:val="center"/>
        </w:trPr>
        <w:tc>
          <w:tcPr>
            <w:tcW w:w="1258" w:type="dxa"/>
            <w:tcBorders>
              <w:top w:val="nil"/>
              <w:left w:val="single" w:sz="8" w:space="0" w:color="auto"/>
              <w:bottom w:val="single" w:sz="8" w:space="0" w:color="auto"/>
              <w:right w:val="single" w:sz="4" w:space="0" w:color="auto"/>
            </w:tcBorders>
            <w:shd w:val="clear" w:color="auto" w:fill="auto"/>
            <w:noWrap/>
            <w:vAlign w:val="bottom"/>
          </w:tcPr>
          <w:p w:rsidR="00134024" w:rsidRPr="00CB4794" w:rsidRDefault="00134024" w:rsidP="00CB4794">
            <w:pPr>
              <w:jc w:val="center"/>
              <w:rPr>
                <w:rFonts w:cs="Calibri"/>
                <w:lang w:eastAsia="es-EC"/>
              </w:rPr>
            </w:pPr>
            <w:r w:rsidRPr="00CB4794">
              <w:rPr>
                <w:rFonts w:cs="Calibri"/>
                <w:lang w:eastAsia="es-EC"/>
              </w:rPr>
              <w:t>&gt;1800</w:t>
            </w:r>
          </w:p>
        </w:tc>
        <w:tc>
          <w:tcPr>
            <w:tcW w:w="3322" w:type="dxa"/>
            <w:tcBorders>
              <w:top w:val="nil"/>
              <w:left w:val="nil"/>
              <w:bottom w:val="single" w:sz="8" w:space="0" w:color="auto"/>
              <w:right w:val="single" w:sz="4" w:space="0" w:color="auto"/>
            </w:tcBorders>
            <w:shd w:val="clear" w:color="auto" w:fill="auto"/>
            <w:noWrap/>
            <w:vAlign w:val="bottom"/>
          </w:tcPr>
          <w:p w:rsidR="00134024" w:rsidRPr="00CB4794" w:rsidRDefault="00134024" w:rsidP="00CB4794">
            <w:pPr>
              <w:rPr>
                <w:rFonts w:cs="Calibri"/>
                <w:lang w:eastAsia="es-EC"/>
              </w:rPr>
            </w:pPr>
            <w:r w:rsidRPr="00CB4794">
              <w:rPr>
                <w:rFonts w:cs="Calibri"/>
                <w:lang w:eastAsia="es-EC"/>
              </w:rPr>
              <w:t>ALTA CONCETRACIÓN</w:t>
            </w:r>
          </w:p>
        </w:tc>
        <w:tc>
          <w:tcPr>
            <w:tcW w:w="226" w:type="dxa"/>
            <w:tcBorders>
              <w:top w:val="nil"/>
              <w:left w:val="nil"/>
              <w:bottom w:val="single" w:sz="8" w:space="0" w:color="auto"/>
              <w:right w:val="single" w:sz="8" w:space="0" w:color="auto"/>
            </w:tcBorders>
            <w:shd w:val="clear" w:color="auto" w:fill="auto"/>
            <w:noWrap/>
            <w:vAlign w:val="bottom"/>
          </w:tcPr>
          <w:p w:rsidR="00134024" w:rsidRPr="00CB4794" w:rsidRDefault="00134024" w:rsidP="00CB4794">
            <w:pPr>
              <w:rPr>
                <w:rFonts w:cs="Calibri"/>
                <w:lang w:eastAsia="es-EC"/>
              </w:rPr>
            </w:pPr>
            <w:r w:rsidRPr="00CB4794">
              <w:rPr>
                <w:rFonts w:cs="Calibri"/>
                <w:lang w:eastAsia="es-EC"/>
              </w:rPr>
              <w:t> </w:t>
            </w:r>
          </w:p>
        </w:tc>
      </w:tr>
    </w:tbl>
    <w:p w:rsidR="00134024" w:rsidRPr="00CB4794" w:rsidRDefault="00134024" w:rsidP="00134024">
      <w:pPr>
        <w:contextualSpacing/>
      </w:pPr>
    </w:p>
    <w:p w:rsidR="00134024" w:rsidRPr="00CB4794" w:rsidRDefault="00134024" w:rsidP="00134024">
      <w:pPr>
        <w:contextualSpacing/>
        <w:rPr>
          <w:sz w:val="18"/>
        </w:rPr>
      </w:pPr>
      <w:r w:rsidRPr="00CB4794">
        <w:t xml:space="preserve">En este cuadro observamos los rangos por los cuales se mide la concentración del capital de las diferentes entidades. </w:t>
      </w: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rPr>
        <w:t>CUADRO N°3</w:t>
      </w:r>
    </w:p>
    <w:p w:rsidR="00134024" w:rsidRPr="00CB4794" w:rsidRDefault="00134024" w:rsidP="00134024">
      <w:pPr>
        <w:contextualSpacing/>
      </w:pPr>
    </w:p>
    <w:p w:rsidR="00134024" w:rsidRPr="00CB4794" w:rsidRDefault="00134024" w:rsidP="00134024">
      <w:pPr>
        <w:contextualSpacing/>
        <w:jc w:val="center"/>
        <w:rPr>
          <w:b/>
        </w:rPr>
      </w:pPr>
      <w:r w:rsidRPr="00CB4794">
        <w:rPr>
          <w:b/>
        </w:rPr>
        <w:t>CALCULO DE CONCENTRACIÓN</w:t>
      </w:r>
    </w:p>
    <w:p w:rsidR="00134024" w:rsidRPr="00CB4794" w:rsidRDefault="00134024" w:rsidP="00134024">
      <w:pPr>
        <w:contextualSpacing/>
      </w:pPr>
    </w:p>
    <w:tbl>
      <w:tblPr>
        <w:tblStyle w:val="Sombreadoclaro-nfasis5"/>
        <w:tblW w:w="8613" w:type="dxa"/>
        <w:tblLook w:val="04A0" w:firstRow="1" w:lastRow="0" w:firstColumn="1" w:lastColumn="0" w:noHBand="0" w:noVBand="1"/>
      </w:tblPr>
      <w:tblGrid>
        <w:gridCol w:w="2560"/>
        <w:gridCol w:w="1275"/>
        <w:gridCol w:w="1265"/>
        <w:gridCol w:w="829"/>
        <w:gridCol w:w="996"/>
        <w:gridCol w:w="829"/>
        <w:gridCol w:w="931"/>
      </w:tblGrid>
      <w:tr w:rsidR="00134024" w:rsidRPr="00CB4794">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jc w:val="center"/>
              <w:rPr>
                <w:rFonts w:ascii="Times New Roman" w:eastAsia="Times New Roman" w:hAnsi="Times New Roman" w:cs="Calibri"/>
                <w:b w:val="0"/>
                <w:bCs w:val="0"/>
                <w:color w:val="auto"/>
                <w:lang w:eastAsia="es-EC"/>
              </w:rPr>
            </w:pPr>
            <w:r w:rsidRPr="00CB4794">
              <w:rPr>
                <w:rFonts w:ascii="Times New Roman" w:eastAsia="Times New Roman" w:hAnsi="Times New Roman" w:cs="Calibri"/>
                <w:color w:val="auto"/>
                <w:lang w:eastAsia="es-EC"/>
              </w:rPr>
              <w:t>CLINIICAS Y HOPITALES</w:t>
            </w:r>
          </w:p>
        </w:tc>
        <w:tc>
          <w:tcPr>
            <w:tcW w:w="2540" w:type="dxa"/>
            <w:gridSpan w:val="2"/>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AÑOS</w:t>
            </w:r>
          </w:p>
        </w:tc>
        <w:tc>
          <w:tcPr>
            <w:tcW w:w="829"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996"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HH1 2009</w:t>
            </w:r>
          </w:p>
        </w:tc>
        <w:tc>
          <w:tcPr>
            <w:tcW w:w="829"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859"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275"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2009</w:t>
            </w:r>
          </w:p>
        </w:tc>
        <w:tc>
          <w:tcPr>
            <w:tcW w:w="1265"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2010</w:t>
            </w:r>
          </w:p>
        </w:tc>
        <w:tc>
          <w:tcPr>
            <w:tcW w:w="829"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p>
        </w:tc>
        <w:tc>
          <w:tcPr>
            <w:tcW w:w="829"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MARÍA AUXILIADORA</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279.404,60</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249.320,41</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0,49</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0,24</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0,61</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0,37</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CENTRO CEFAVIS  SANA S.A.</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14.186,05</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14.495,25</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0,03</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0,03</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GALENOSS.A</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300.935,38</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304.403,59</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0,60</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0,36</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0,65</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0,43</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MODERNA CIA.LTDA</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222.902,66</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271.956,78</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0,54</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0,29</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0,48</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0,23</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OLIMPUS SASEBIS.A</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45.764,40</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46.474,52</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0,09</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0,01</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0,10</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0,01</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SAN GABRIEL  </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241.759,70</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0,48</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0,23</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CLIGEVISA CIA.LTDA</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78.783,09</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0,16</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0,02</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CONOCOTO  </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51.358,96</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70.707,98</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0,14</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0,02</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0,11</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0,01</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CEMEDSSO CIA LTDA.</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121.371,87</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0,24</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0,06</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HOSPITAL INGLES CIA. LTDA.</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714.450,69</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2.605.959,73</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5,14</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26,44</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1,55</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2,41</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CENTRO CENTROMAMARIA </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92.355,40</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0,18</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0,03</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NOVACLINICA</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4.904.902,82</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6.073.585,36</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11,98</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143,64</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10,65</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113,50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TECOCEL S.A.  </w:t>
            </w: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39.503.619,14</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40.503.619,14</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79,93</w:t>
            </w:r>
          </w:p>
        </w:tc>
        <w:tc>
          <w:tcPr>
            <w:tcW w:w="996"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6.388,06</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85,80</w:t>
            </w:r>
          </w:p>
        </w:tc>
        <w:tc>
          <w:tcPr>
            <w:tcW w:w="85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7362,27</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INGLATERRA</w:t>
            </w:r>
          </w:p>
        </w:tc>
        <w:tc>
          <w:tcPr>
            <w:tcW w:w="127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126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18"/>
                <w:szCs w:val="18"/>
                <w:lang w:eastAsia="es-EC"/>
              </w:rPr>
            </w:pPr>
            <w:r w:rsidRPr="00CB4794">
              <w:rPr>
                <w:rFonts w:ascii="Times New Roman" w:eastAsia="Times New Roman" w:hAnsi="Times New Roman" w:cs="Calibri"/>
                <w:b/>
                <w:bCs/>
                <w:color w:val="auto"/>
                <w:sz w:val="18"/>
                <w:szCs w:val="18"/>
                <w:lang w:eastAsia="es-EC"/>
              </w:rPr>
              <w:t> </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996"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5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lang w:eastAsia="es-EC"/>
              </w:rPr>
            </w:pPr>
          </w:p>
        </w:tc>
        <w:tc>
          <w:tcPr>
            <w:tcW w:w="127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46039533,7</w:t>
            </w:r>
          </w:p>
        </w:tc>
        <w:tc>
          <w:tcPr>
            <w:tcW w:w="126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50676803</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100,00</w:t>
            </w:r>
          </w:p>
        </w:tc>
        <w:tc>
          <w:tcPr>
            <w:tcW w:w="996"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82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100,00</w:t>
            </w:r>
          </w:p>
        </w:tc>
        <w:tc>
          <w:tcPr>
            <w:tcW w:w="859"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r>
    </w:tbl>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r w:rsidRPr="00CB4794">
        <w:t>Al realizar los cálculos correspondientes observamos que la concentración la tiene TECOCCEL con 6988.06  dólares en el año 2009, es decir concentra la mayor parte del capital en los activos a diferencia de las demás, por que la siguiente es NOVACLINICA  con 143.64 dólares.</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rPr>
          <w:b/>
        </w:rPr>
      </w:pPr>
      <w:r w:rsidRPr="00CB4794">
        <w:rPr>
          <w:b/>
        </w:rPr>
        <w:t>GRAFICO N° 1</w:t>
      </w:r>
    </w:p>
    <w:p w:rsidR="00134024" w:rsidRPr="00CB4794" w:rsidRDefault="00134024" w:rsidP="00134024">
      <w:pPr>
        <w:contextualSpacing/>
      </w:pPr>
    </w:p>
    <w:p w:rsidR="00134024" w:rsidRPr="00CB4794" w:rsidRDefault="00134024" w:rsidP="00134024">
      <w:pPr>
        <w:contextualSpacing/>
        <w:jc w:val="center"/>
      </w:pPr>
      <w:r w:rsidRPr="00CB4794">
        <w:rPr>
          <w:noProof/>
          <w:lang w:val="es-EC" w:eastAsia="es-EC"/>
        </w:rPr>
        <w:drawing>
          <wp:inline distT="0" distB="0" distL="0" distR="0">
            <wp:extent cx="5762625" cy="3581400"/>
            <wp:effectExtent l="19050" t="0" r="9525" b="0"/>
            <wp:docPr id="1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jc w:val="both"/>
      </w:pPr>
    </w:p>
    <w:p w:rsidR="00134024" w:rsidRPr="00CB4794" w:rsidRDefault="00134024" w:rsidP="00134024">
      <w:pPr>
        <w:contextualSpacing/>
        <w:jc w:val="both"/>
      </w:pPr>
      <w:r w:rsidRPr="00CB4794">
        <w:t>El porcentaje más alto en activos representa a TECOCCEL (Hospital de los Valles) con un 85.60% de las 14 clínicas de Quito estudiadas, Esta entidad  cuenta con un total de 760 accionistas los cuales además de ser accionistas de esta compañía los son de algunas otras compañías.</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rPr>
        <w:t>CUADRO N° 4</w:t>
      </w:r>
    </w:p>
    <w:p w:rsidR="00134024" w:rsidRPr="00CB4794" w:rsidRDefault="00134024" w:rsidP="00134024">
      <w:pPr>
        <w:contextualSpacing/>
      </w:pPr>
    </w:p>
    <w:tbl>
      <w:tblPr>
        <w:tblStyle w:val="Sombreadomedio1-nfasis11"/>
        <w:tblW w:w="8260" w:type="dxa"/>
        <w:jc w:val="center"/>
        <w:tblLook w:val="04A0" w:firstRow="1" w:lastRow="0" w:firstColumn="1" w:lastColumn="0" w:noHBand="0" w:noVBand="1"/>
      </w:tblPr>
      <w:tblGrid>
        <w:gridCol w:w="2520"/>
        <w:gridCol w:w="2380"/>
        <w:gridCol w:w="1660"/>
        <w:gridCol w:w="1700"/>
      </w:tblGrid>
      <w:tr w:rsidR="00134024" w:rsidRPr="00CB479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238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color w:val="auto"/>
                <w:sz w:val="16"/>
                <w:szCs w:val="16"/>
                <w:lang w:eastAsia="es-EC"/>
              </w:rPr>
              <w:t>CLINICAS O  HOSPITALES</w:t>
            </w:r>
          </w:p>
        </w:tc>
        <w:tc>
          <w:tcPr>
            <w:tcW w:w="166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color w:val="auto"/>
                <w:sz w:val="16"/>
                <w:szCs w:val="16"/>
                <w:lang w:eastAsia="es-EC"/>
              </w:rPr>
              <w:t>PRODUCTOS QUIMICOS</w:t>
            </w:r>
          </w:p>
        </w:tc>
        <w:tc>
          <w:tcPr>
            <w:tcW w:w="170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color w:val="auto"/>
                <w:sz w:val="16"/>
                <w:szCs w:val="16"/>
                <w:lang w:eastAsia="es-EC"/>
              </w:rPr>
              <w:t>LABORATORIOS</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BAENA ALVAREZ MARGARITA MARIA</w:t>
            </w:r>
          </w:p>
        </w:tc>
        <w:tc>
          <w:tcPr>
            <w:tcW w:w="238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xml:space="preserve">TECOCEL </w:t>
            </w:r>
          </w:p>
        </w:tc>
        <w:tc>
          <w:tcPr>
            <w:tcW w:w="16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BAENA FARMAS</w:t>
            </w:r>
          </w:p>
        </w:tc>
        <w:tc>
          <w:tcPr>
            <w:tcW w:w="170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FRISON HEILI CHARLES RICHARD</w:t>
            </w:r>
          </w:p>
        </w:tc>
        <w:tc>
          <w:tcPr>
            <w:tcW w:w="238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xml:space="preserve">TECOCEL </w:t>
            </w:r>
          </w:p>
        </w:tc>
        <w:tc>
          <w:tcPr>
            <w:tcW w:w="166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FRISONEX  CIA LTDA</w:t>
            </w:r>
          </w:p>
        </w:tc>
        <w:tc>
          <w:tcPr>
            <w:tcW w:w="170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CRESPO VASQUEZ MARCO TEODORO</w:t>
            </w:r>
          </w:p>
        </w:tc>
        <w:tc>
          <w:tcPr>
            <w:tcW w:w="238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xml:space="preserve">TECOCEL </w:t>
            </w:r>
          </w:p>
        </w:tc>
        <w:tc>
          <w:tcPr>
            <w:tcW w:w="16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70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LAB-NYSE CIA LTDA.0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CHAVEZ PINEDA MIGUEL ANGEL</w:t>
            </w:r>
          </w:p>
        </w:tc>
        <w:tc>
          <w:tcPr>
            <w:tcW w:w="238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xml:space="preserve">TECOCEL </w:t>
            </w:r>
          </w:p>
        </w:tc>
        <w:tc>
          <w:tcPr>
            <w:tcW w:w="166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70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MAXIMEDICAL CIA LTDA</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ABDO SARRAS GERMAN GREGORIO</w:t>
            </w:r>
          </w:p>
        </w:tc>
        <w:tc>
          <w:tcPr>
            <w:tcW w:w="238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xml:space="preserve">TECOCEL </w:t>
            </w:r>
          </w:p>
        </w:tc>
        <w:tc>
          <w:tcPr>
            <w:tcW w:w="16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70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RASERPHARM S.A</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GILBERT RAMIREZ OSCAR ANTONIO</w:t>
            </w:r>
          </w:p>
        </w:tc>
        <w:tc>
          <w:tcPr>
            <w:tcW w:w="238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xml:space="preserve">TECOCEL </w:t>
            </w:r>
          </w:p>
        </w:tc>
        <w:tc>
          <w:tcPr>
            <w:tcW w:w="166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70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RASERPHARM S.A</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25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ESTRELLA ALARCON MARLENE MARIA</w:t>
            </w:r>
          </w:p>
        </w:tc>
        <w:tc>
          <w:tcPr>
            <w:tcW w:w="238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NOVACLINICA S.A.</w:t>
            </w:r>
          </w:p>
        </w:tc>
        <w:tc>
          <w:tcPr>
            <w:tcW w:w="16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70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RASERPHARM S.A</w:t>
            </w:r>
          </w:p>
        </w:tc>
      </w:tr>
    </w:tbl>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rPr>
          <w:sz w:val="20"/>
          <w:szCs w:val="20"/>
        </w:rPr>
      </w:pPr>
    </w:p>
    <w:p w:rsidR="00134024" w:rsidRPr="00CB4794" w:rsidRDefault="00134024" w:rsidP="00134024">
      <w:pPr>
        <w:contextualSpacing/>
        <w:jc w:val="both"/>
        <w:rPr>
          <w:sz w:val="20"/>
          <w:szCs w:val="20"/>
        </w:rPr>
      </w:pPr>
    </w:p>
    <w:p w:rsidR="00134024" w:rsidRPr="00CB4794" w:rsidRDefault="00134024" w:rsidP="00134024">
      <w:pPr>
        <w:contextualSpacing/>
        <w:jc w:val="both"/>
      </w:pPr>
      <w:r w:rsidRPr="00CB4794">
        <w:rPr>
          <w:sz w:val="20"/>
          <w:szCs w:val="20"/>
        </w:rPr>
        <w:t>Al realizar el análisis comparativo entre las diferentes entidades estudiadas podemos observar que existen relación entre ellas dado que sus accionistas son los mismos como podemos observar en el cuadro adjunto. Esta relación es determinante para la comercialización de los diferentes productos inmiscuidos en este entorno, y así mismo esta comercialización representa un gran porcentaje de ganancia para estas personas, pero el costo de esta ganancia es alto ya que por intereses incluidos algunas entidades nuevas no pueden comercializar en este mercado esto es debido a que estos individuos tienen el monopolio de este sector y no incluyen más empresas.</w:t>
      </w:r>
    </w:p>
    <w:p w:rsidR="00134024" w:rsidRPr="00CB4794" w:rsidRDefault="00134024" w:rsidP="00134024">
      <w:pPr>
        <w:contextualSpacing/>
      </w:pPr>
    </w:p>
    <w:p w:rsidR="00134024" w:rsidRPr="00CB4794" w:rsidRDefault="00134024" w:rsidP="00134024">
      <w:pPr>
        <w:contextualSpacing/>
      </w:pPr>
      <w:r w:rsidRPr="00CB4794">
        <w:rPr>
          <w:rStyle w:val="Refdenotaalpie"/>
          <w:rFonts w:eastAsiaTheme="majorEastAsia"/>
        </w:rPr>
        <w:footnoteReference w:id="15"/>
      </w:r>
      <w:r w:rsidRPr="00CB4794">
        <w:t>Entre los principales accionistas se encuentran:</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GENERALI</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BMI</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AIG SEGUROS Y REASEGUROS</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ECUASANITAS</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PANAMERICANA DE SEGUROS</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HUMANA</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PAN AMERICAN LIFE</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SEGUROS ROCAFUERTE</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SALUD S.A.</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TECNIDSEGUROS</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VANBREADA</w:t>
      </w:r>
    </w:p>
    <w:p w:rsidR="00134024" w:rsidRPr="00CB4794" w:rsidRDefault="00134024" w:rsidP="00134024">
      <w:pPr>
        <w:pStyle w:val="Prrafodelista"/>
        <w:widowControl/>
        <w:numPr>
          <w:ilvl w:val="0"/>
          <w:numId w:val="19"/>
        </w:numPr>
        <w:spacing w:after="200"/>
        <w:contextualSpacing/>
        <w:rPr>
          <w:rFonts w:ascii="Times New Roman" w:hAnsi="Times New Roman"/>
        </w:rPr>
      </w:pPr>
      <w:r w:rsidRPr="00CB4794">
        <w:rPr>
          <w:rFonts w:ascii="Times New Roman" w:hAnsi="Times New Roman"/>
        </w:rPr>
        <w:t>EQUIVIDA</w:t>
      </w:r>
    </w:p>
    <w:p w:rsidR="00134024" w:rsidRPr="00CB4794" w:rsidRDefault="00134024" w:rsidP="00134024">
      <w:pPr>
        <w:contextualSpacing/>
      </w:pPr>
      <w:r w:rsidRPr="00CB4794">
        <w:t>Estas entidades son aseguradoras y bróker de seguros, cuyos propietarios están incluidos en la lista de accionistas de TECOCCEL</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rPr>
          <w:b/>
        </w:rPr>
      </w:pPr>
      <w:r w:rsidRPr="00CB4794">
        <w:rPr>
          <w:b/>
        </w:rPr>
        <w:t>GRAFICO N° 2</w:t>
      </w:r>
    </w:p>
    <w:p w:rsidR="00134024" w:rsidRPr="00CB4794" w:rsidRDefault="00134024" w:rsidP="00134024">
      <w:pPr>
        <w:contextualSpacing/>
        <w:jc w:val="center"/>
        <w:rPr>
          <w:b/>
          <w:szCs w:val="28"/>
        </w:rPr>
      </w:pPr>
      <w:r w:rsidRPr="00CB4794">
        <w:rPr>
          <w:b/>
          <w:szCs w:val="28"/>
        </w:rPr>
        <w:t>CONCENTRACIÓN DE ACTIVOS AÑO 2009</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848350" cy="4861560"/>
            <wp:effectExtent l="19050" t="0" r="19050" b="0"/>
            <wp:docPr id="1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jc w:val="both"/>
        <w:rPr>
          <w:rFonts w:cstheme="majorHAnsi"/>
        </w:rPr>
      </w:pPr>
      <w:r w:rsidRPr="00CB4794">
        <w:rPr>
          <w:rFonts w:cstheme="majorHAnsi"/>
        </w:rPr>
        <w:t>Como podemos observar de los 15 datos obtenidos entre clínicas y hospitales de Quito el monopolio está ubicado  en TECOCCEL, con 7362, 27 dólares, esto quiere decir que existe una concentración total de activos en el año 2009.</w:t>
      </w: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3</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962650" cy="3228975"/>
            <wp:effectExtent l="19050" t="0" r="19050" b="0"/>
            <wp:docPr id="17"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both"/>
        <w:rPr>
          <w:rFonts w:cstheme="majorHAnsi"/>
          <w:sz w:val="20"/>
          <w:szCs w:val="20"/>
        </w:rPr>
      </w:pPr>
      <w:r w:rsidRPr="00CB4794">
        <w:rPr>
          <w:rFonts w:cstheme="majorHAnsi"/>
          <w:sz w:val="20"/>
          <w:szCs w:val="20"/>
        </w:rPr>
        <w:t>Por otro lado en el año 2010 el porcentaje también esta en un 79,93 en TECOCCEl, pero bajo en 6 puntos con respecto al 2009, y NOVACLÍNICA aumento su nivel de activos  pasó de 10,65% a 11,65%, pero este porcentaje también se reparte con el HOSPITAL INGLES con un 5,14%.</w:t>
      </w: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sz w:val="20"/>
          <w:szCs w:val="20"/>
        </w:rPr>
      </w:pPr>
      <w:r w:rsidRPr="00CB4794">
        <w:rPr>
          <w:rFonts w:cstheme="majorHAnsi"/>
          <w:sz w:val="20"/>
          <w:szCs w:val="20"/>
        </w:rPr>
        <w:t>En este caso a pesar de que estas dos entidades aumentaron sus porcentajes de activos, TECOCCEL sigue concentrando el nivel de activos con respecto a las 11 clínicas y hospitales consultados en la ciudad de Quito.</w:t>
      </w:r>
    </w:p>
    <w:p w:rsidR="00134024" w:rsidRPr="00CB4794" w:rsidRDefault="00134024" w:rsidP="00134024">
      <w:pPr>
        <w:contextualSpacing/>
        <w:jc w:val="both"/>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4</w:t>
      </w:r>
    </w:p>
    <w:p w:rsidR="00134024" w:rsidRPr="00CB4794" w:rsidRDefault="00134024" w:rsidP="00134024">
      <w:pPr>
        <w:contextualSpacing/>
        <w:jc w:val="center"/>
        <w:rPr>
          <w:b/>
          <w:sz w:val="28"/>
          <w:szCs w:val="28"/>
        </w:rPr>
      </w:pPr>
      <w:r w:rsidRPr="00CB4794">
        <w:rPr>
          <w:b/>
          <w:sz w:val="28"/>
          <w:szCs w:val="28"/>
        </w:rPr>
        <w:t>CONCENTRACIÓN DE ACTIVOS AÑO 2010</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829300" cy="3619500"/>
            <wp:effectExtent l="19050" t="0" r="19050" b="0"/>
            <wp:docPr id="18"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 xml:space="preserve"> Instituto de Salud Pública</w:t>
      </w:r>
    </w:p>
    <w:p w:rsidR="00134024" w:rsidRPr="00CB4794" w:rsidRDefault="00134024" w:rsidP="00134024">
      <w:pPr>
        <w:jc w:val="center"/>
        <w:rPr>
          <w:b/>
        </w:rPr>
      </w:pPr>
    </w:p>
    <w:p w:rsidR="00134024" w:rsidRPr="00CB4794" w:rsidRDefault="00134024" w:rsidP="00134024">
      <w:pPr>
        <w:jc w:val="both"/>
        <w:rPr>
          <w:rFonts w:cstheme="majorHAnsi"/>
        </w:rPr>
      </w:pPr>
      <w:r w:rsidRPr="00CB4794">
        <w:rPr>
          <w:rFonts w:cstheme="majorHAnsi"/>
        </w:rPr>
        <w:t>Como en el año 2009, la concentración total esta en el Hospital de los Valles, con 6388,06 dólares. Si bien Novaclínica es la entidad que le sigue no tiene nada que ver con el nivel de concentración de TECOCCEL, tiene el monopolio total de las 14 clínicas y hospitales analizados.</w:t>
      </w:r>
    </w:p>
    <w:p w:rsidR="00134024" w:rsidRPr="00CB4794" w:rsidRDefault="00134024" w:rsidP="00134024">
      <w:pPr>
        <w:jc w:val="center"/>
        <w:rPr>
          <w:rFonts w:cstheme="majorHAnsi"/>
          <w:b/>
          <w:sz w:val="28"/>
          <w:szCs w:val="28"/>
        </w:rPr>
      </w:pPr>
    </w:p>
    <w:p w:rsidR="00134024" w:rsidRPr="00CB4794" w:rsidRDefault="00134024" w:rsidP="00134024">
      <w:pPr>
        <w:jc w:val="center"/>
        <w:rPr>
          <w:b/>
          <w:sz w:val="28"/>
          <w:szCs w:val="28"/>
        </w:rPr>
      </w:pPr>
    </w:p>
    <w:p w:rsidR="00134024" w:rsidRPr="00CB4794" w:rsidRDefault="00134024" w:rsidP="00134024">
      <w:pPr>
        <w:jc w:val="center"/>
        <w:rPr>
          <w:b/>
          <w:sz w:val="28"/>
          <w:szCs w:val="28"/>
        </w:rPr>
      </w:pPr>
    </w:p>
    <w:p w:rsidR="00134024" w:rsidRPr="00CB4794" w:rsidRDefault="00134024" w:rsidP="00134024">
      <w:pPr>
        <w:jc w:val="center"/>
        <w:rPr>
          <w:b/>
          <w:sz w:val="28"/>
          <w:szCs w:val="28"/>
        </w:rPr>
      </w:pPr>
    </w:p>
    <w:p w:rsidR="00134024" w:rsidRPr="00CB4794" w:rsidRDefault="00134024" w:rsidP="00134024">
      <w:pPr>
        <w:rPr>
          <w:b/>
          <w:sz w:val="28"/>
          <w:szCs w:val="28"/>
        </w:rPr>
      </w:pPr>
    </w:p>
    <w:p w:rsidR="00134024" w:rsidRPr="00CB4794" w:rsidRDefault="00134024" w:rsidP="00134024">
      <w:pPr>
        <w:rPr>
          <w:b/>
          <w:sz w:val="28"/>
          <w:szCs w:val="28"/>
        </w:rPr>
      </w:pPr>
    </w:p>
    <w:p w:rsidR="00134024" w:rsidRPr="00CB4794" w:rsidRDefault="00134024" w:rsidP="00134024">
      <w:pPr>
        <w:pStyle w:val="Ttulo2"/>
        <w:spacing w:line="240" w:lineRule="auto"/>
        <w:rPr>
          <w:rFonts w:ascii="Times New Roman" w:hAnsi="Times New Roman"/>
          <w:color w:val="auto"/>
        </w:rPr>
      </w:pPr>
      <w:bookmarkStart w:id="13" w:name="_Toc310863225"/>
      <w:bookmarkStart w:id="14" w:name="_Toc310868898"/>
      <w:r w:rsidRPr="00CB4794">
        <w:rPr>
          <w:rFonts w:ascii="Times New Roman" w:hAnsi="Times New Roman"/>
          <w:color w:val="auto"/>
        </w:rPr>
        <w:t>ANÁLISIS DEL ACTIVO CLÍNICAS Y HOSPITALES DE GUAYAQUIL</w:t>
      </w:r>
      <w:bookmarkEnd w:id="13"/>
      <w:bookmarkEnd w:id="14"/>
    </w:p>
    <w:p w:rsidR="00134024" w:rsidRPr="00CB4794" w:rsidRDefault="00134024" w:rsidP="00134024">
      <w:pPr>
        <w:jc w:val="center"/>
      </w:pPr>
    </w:p>
    <w:p w:rsidR="00134024" w:rsidRPr="00CB4794" w:rsidRDefault="00134024" w:rsidP="00134024">
      <w:pPr>
        <w:jc w:val="center"/>
        <w:rPr>
          <w:b/>
        </w:rPr>
      </w:pPr>
      <w:r w:rsidRPr="00CB4794">
        <w:rPr>
          <w:b/>
        </w:rPr>
        <w:t>CUADRO N°5</w:t>
      </w:r>
    </w:p>
    <w:p w:rsidR="00134024" w:rsidRPr="00CB4794" w:rsidRDefault="00134024" w:rsidP="00134024">
      <w:pPr>
        <w:contextualSpacing/>
        <w:rPr>
          <w:sz w:val="20"/>
          <w:szCs w:val="20"/>
        </w:rPr>
      </w:pPr>
    </w:p>
    <w:tbl>
      <w:tblPr>
        <w:tblStyle w:val="Sombreadoclaro-nfasis3"/>
        <w:tblW w:w="9090" w:type="dxa"/>
        <w:tblLook w:val="04A0" w:firstRow="1" w:lastRow="0" w:firstColumn="1" w:lastColumn="0" w:noHBand="0" w:noVBand="1"/>
      </w:tblPr>
      <w:tblGrid>
        <w:gridCol w:w="2644"/>
        <w:gridCol w:w="1161"/>
        <w:gridCol w:w="1026"/>
        <w:gridCol w:w="1161"/>
        <w:gridCol w:w="1161"/>
        <w:gridCol w:w="1161"/>
        <w:gridCol w:w="1161"/>
      </w:tblGrid>
      <w:tr w:rsidR="00134024" w:rsidRPr="00CB4794">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9090" w:type="dxa"/>
            <w:gridSpan w:val="7"/>
            <w:noWrap/>
          </w:tcPr>
          <w:p w:rsidR="00134024" w:rsidRPr="00CB4794" w:rsidRDefault="00134024" w:rsidP="00CB4794">
            <w:pPr>
              <w:jc w:val="center"/>
              <w:rPr>
                <w:rFonts w:ascii="Times New Roman" w:eastAsia="Times New Roman" w:hAnsi="Times New Roman" w:cs="Calibri"/>
                <w:b w:val="0"/>
                <w:bCs w:val="0"/>
                <w:color w:val="auto"/>
                <w:sz w:val="28"/>
                <w:szCs w:val="28"/>
                <w:lang w:eastAsia="es-EC"/>
              </w:rPr>
            </w:pPr>
            <w:r w:rsidRPr="00CB4794">
              <w:rPr>
                <w:rFonts w:ascii="Times New Roman" w:eastAsia="Times New Roman" w:hAnsi="Times New Roman" w:cs="Calibri"/>
                <w:color w:val="auto"/>
                <w:sz w:val="28"/>
                <w:szCs w:val="28"/>
                <w:lang w:eastAsia="es-EC"/>
              </w:rPr>
              <w:t>EVOLUCIÓN DEL ACTIVO 2005-2010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jc w:val="center"/>
              <w:rPr>
                <w:rFonts w:ascii="Times New Roman" w:eastAsia="Times New Roman" w:hAnsi="Times New Roman" w:cs="Calibri"/>
                <w:b w:val="0"/>
                <w:bCs w:val="0"/>
                <w:color w:val="auto"/>
                <w:sz w:val="28"/>
                <w:szCs w:val="28"/>
                <w:lang w:eastAsia="es-EC"/>
              </w:rPr>
            </w:pPr>
            <w:r w:rsidRPr="00CB4794">
              <w:rPr>
                <w:rFonts w:ascii="Times New Roman" w:eastAsia="Times New Roman" w:hAnsi="Times New Roman" w:cs="Calibri"/>
                <w:color w:val="auto"/>
                <w:sz w:val="28"/>
                <w:szCs w:val="28"/>
                <w:lang w:eastAsia="es-EC"/>
              </w:rPr>
              <w:t> </w:t>
            </w: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961"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sz w:val="28"/>
                <w:szCs w:val="28"/>
                <w:lang w:eastAsia="es-EC"/>
              </w:rPr>
            </w:pPr>
            <w:r w:rsidRPr="00CB4794">
              <w:rPr>
                <w:rFonts w:ascii="Times New Roman" w:eastAsia="Times New Roman" w:hAnsi="Times New Roman" w:cs="Calibri"/>
                <w:b/>
                <w:bCs/>
                <w:color w:val="auto"/>
                <w:sz w:val="28"/>
                <w:szCs w:val="28"/>
                <w:lang w:eastAsia="es-EC"/>
              </w:rPr>
              <w:t> </w:t>
            </w:r>
          </w:p>
        </w:tc>
      </w:tr>
      <w:tr w:rsidR="00134024" w:rsidRPr="00CB4794">
        <w:trPr>
          <w:trHeight w:val="39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b w:val="0"/>
                <w:bCs w:val="0"/>
                <w:color w:val="auto"/>
                <w:lang w:eastAsia="es-EC"/>
              </w:rPr>
            </w:pPr>
            <w:r w:rsidRPr="00CB4794">
              <w:rPr>
                <w:rFonts w:ascii="Times New Roman" w:eastAsia="Times New Roman" w:hAnsi="Times New Roman" w:cs="Calibri"/>
                <w:color w:val="auto"/>
                <w:lang w:eastAsia="es-EC"/>
              </w:rPr>
              <w:t>CLINICAS Y HOSPITALES</w:t>
            </w:r>
          </w:p>
        </w:tc>
        <w:tc>
          <w:tcPr>
            <w:tcW w:w="6446" w:type="dxa"/>
            <w:gridSpan w:val="6"/>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b/>
                <w:bCs/>
                <w:color w:val="auto"/>
                <w:sz w:val="28"/>
                <w:szCs w:val="28"/>
                <w:lang w:eastAsia="es-EC"/>
              </w:rPr>
            </w:pPr>
            <w:r w:rsidRPr="00CB4794">
              <w:rPr>
                <w:rFonts w:ascii="Times New Roman" w:eastAsia="Times New Roman" w:hAnsi="Times New Roman" w:cs="Calibri"/>
                <w:b/>
                <w:bCs/>
                <w:color w:val="auto"/>
                <w:sz w:val="28"/>
                <w:szCs w:val="28"/>
                <w:lang w:eastAsia="es-EC"/>
              </w:rPr>
              <w:t>AÑOS</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2005</w:t>
            </w:r>
          </w:p>
        </w:tc>
        <w:tc>
          <w:tcPr>
            <w:tcW w:w="961"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2006</w:t>
            </w: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2007</w:t>
            </w: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2008</w:t>
            </w: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2009</w:t>
            </w:r>
          </w:p>
        </w:tc>
        <w:tc>
          <w:tcPr>
            <w:tcW w:w="1097"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2010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SALUDCOOP</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2.047.139,00</w:t>
            </w:r>
          </w:p>
        </w:tc>
        <w:tc>
          <w:tcPr>
            <w:tcW w:w="9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2.728.879,95</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3.199.717,45</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3.809.775,63</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5.389.768,68</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CENTRO  FETALPRONATAL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90.353,42</w:t>
            </w:r>
          </w:p>
        </w:tc>
        <w:tc>
          <w:tcPr>
            <w:tcW w:w="9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106.125,43</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119.041,59</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155.755,12</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102.921,32</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199.264,26</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PANAMERICANA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390.150,10</w:t>
            </w:r>
          </w:p>
        </w:tc>
        <w:tc>
          <w:tcPr>
            <w:tcW w:w="9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442.128,87</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3.170.056,55</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SANTAMARIA</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390.150,10</w:t>
            </w:r>
          </w:p>
        </w:tc>
        <w:tc>
          <w:tcPr>
            <w:tcW w:w="9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442.128,87</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327.283,66</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478.957,57</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484.238,80</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1.103.694,09</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SAN LUIS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8.906,80</w:t>
            </w:r>
          </w:p>
        </w:tc>
        <w:tc>
          <w:tcPr>
            <w:tcW w:w="9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5.310,15</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9.049,95</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15.009,09</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29.076,17</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PARKER</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5.700,97</w:t>
            </w:r>
          </w:p>
        </w:tc>
        <w:tc>
          <w:tcPr>
            <w:tcW w:w="9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INREUMI</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9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72.769,22</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62.276,22</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CLIMEDINOR</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5.700,97</w:t>
            </w:r>
          </w:p>
        </w:tc>
        <w:tc>
          <w:tcPr>
            <w:tcW w:w="9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COMPARASAD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3.853,43</w:t>
            </w:r>
          </w:p>
        </w:tc>
        <w:tc>
          <w:tcPr>
            <w:tcW w:w="9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18.170,70</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15.207,02</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14.567,90</w:t>
            </w: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13.987,79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CERNIMED</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106.728,39</w:t>
            </w:r>
          </w:p>
        </w:tc>
        <w:tc>
          <w:tcPr>
            <w:tcW w:w="9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98.705,95</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95.901,20</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83.901,13</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84.045,40</w:t>
            </w:r>
          </w:p>
        </w:tc>
        <w:tc>
          <w:tcPr>
            <w:tcW w:w="109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23.538,84</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644" w:type="dxa"/>
            <w:noWrap/>
          </w:tcPr>
          <w:p w:rsidR="00134024" w:rsidRPr="00CB4794" w:rsidRDefault="00134024" w:rsidP="00CB4794">
            <w:pPr>
              <w:rPr>
                <w:rFonts w:ascii="Times New Roman" w:eastAsia="Times New Roman" w:hAnsi="Times New Roman" w:cs="Calibri"/>
                <w:color w:val="auto"/>
                <w:sz w:val="20"/>
                <w:szCs w:val="20"/>
                <w:lang w:eastAsia="es-EC"/>
              </w:rPr>
            </w:pP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p>
        </w:tc>
        <w:tc>
          <w:tcPr>
            <w:tcW w:w="9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p>
        </w:tc>
        <w:tc>
          <w:tcPr>
            <w:tcW w:w="109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p>
        </w:tc>
      </w:tr>
    </w:tbl>
    <w:p w:rsidR="00134024" w:rsidRPr="00CB4794" w:rsidRDefault="00134024" w:rsidP="00134024">
      <w:pPr>
        <w:contextualSpacing/>
        <w:rPr>
          <w:b/>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both"/>
        <w:rPr>
          <w:rFonts w:cstheme="majorHAnsi"/>
          <w:sz w:val="20"/>
          <w:szCs w:val="20"/>
        </w:rPr>
      </w:pPr>
      <w:r w:rsidRPr="00CB4794">
        <w:rPr>
          <w:rFonts w:cstheme="majorHAnsi"/>
          <w:sz w:val="20"/>
          <w:szCs w:val="20"/>
        </w:rPr>
        <w:t>En el cuadro adjunto se encuentra el análisis de las clínicas y hospitales de Guayaquil, las entidades analizadas son 10 de nuestra información adquirida.</w:t>
      </w: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r w:rsidRPr="00CB4794">
        <w:rPr>
          <w:rFonts w:cstheme="majorHAnsi"/>
          <w:sz w:val="20"/>
          <w:szCs w:val="20"/>
        </w:rPr>
        <w:t xml:space="preserve">Entre ellas se encuentra SALUDCOOP, cuyos accionistas o socios es la AEGURADORA COOPSEGUROS, que opera en la ciudad de Guayaquil con agencias en Quito y Cuenca. </w:t>
      </w: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jc w:val="both"/>
        <w:rPr>
          <w:rFonts w:cstheme="majorHAnsi"/>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pStyle w:val="Ttulo3"/>
        <w:spacing w:line="240" w:lineRule="auto"/>
        <w:rPr>
          <w:rFonts w:ascii="Times New Roman" w:hAnsi="Times New Roman"/>
          <w:color w:val="auto"/>
          <w:sz w:val="32"/>
        </w:rPr>
      </w:pPr>
      <w:bookmarkStart w:id="15" w:name="_Toc310863226"/>
      <w:bookmarkStart w:id="16" w:name="_Toc310868899"/>
      <w:r w:rsidRPr="00CB4794">
        <w:rPr>
          <w:rFonts w:ascii="Times New Roman" w:hAnsi="Times New Roman"/>
          <w:color w:val="auto"/>
        </w:rPr>
        <w:t>ANALISIS DE CONCETRACIÓN DE CLINICAS Y HOSPITALES DE GUAYAQUIL</w:t>
      </w:r>
      <w:bookmarkEnd w:id="15"/>
      <w:bookmarkEnd w:id="16"/>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jc w:val="center"/>
        <w:rPr>
          <w:b/>
        </w:rPr>
      </w:pPr>
      <w:r w:rsidRPr="00CB4794">
        <w:rPr>
          <w:b/>
        </w:rPr>
        <w:t>CUADRO N° 6</w:t>
      </w:r>
    </w:p>
    <w:p w:rsidR="00134024" w:rsidRPr="00CB4794" w:rsidRDefault="00134024" w:rsidP="00134024">
      <w:pPr>
        <w:contextualSpacing/>
        <w:jc w:val="center"/>
        <w:rPr>
          <w:b/>
        </w:rPr>
      </w:pPr>
      <w:r w:rsidRPr="00CB4794">
        <w:rPr>
          <w:b/>
        </w:rPr>
        <w:t>CALCULO DE CONCENTRACIÓN  2009-2010</w:t>
      </w:r>
    </w:p>
    <w:p w:rsidR="00134024" w:rsidRPr="00CB4794" w:rsidRDefault="00134024" w:rsidP="00134024">
      <w:pPr>
        <w:contextualSpacing/>
      </w:pPr>
    </w:p>
    <w:tbl>
      <w:tblPr>
        <w:tblStyle w:val="Sombreadoclaro-nfasis11"/>
        <w:tblW w:w="8440" w:type="dxa"/>
        <w:tblLook w:val="04A0" w:firstRow="1" w:lastRow="0" w:firstColumn="1" w:lastColumn="0" w:noHBand="0" w:noVBand="1"/>
      </w:tblPr>
      <w:tblGrid>
        <w:gridCol w:w="2560"/>
        <w:gridCol w:w="1371"/>
        <w:gridCol w:w="1371"/>
        <w:gridCol w:w="767"/>
        <w:gridCol w:w="1000"/>
        <w:gridCol w:w="620"/>
        <w:gridCol w:w="940"/>
      </w:tblGrid>
      <w:tr w:rsidR="00134024" w:rsidRPr="00CB4794">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b w:val="0"/>
                <w:bCs w:val="0"/>
                <w:color w:val="auto"/>
                <w:lang w:eastAsia="es-EC"/>
              </w:rPr>
            </w:pPr>
            <w:r w:rsidRPr="00CB4794">
              <w:rPr>
                <w:rFonts w:ascii="Times New Roman" w:eastAsia="Times New Roman" w:hAnsi="Times New Roman" w:cs="Calibri"/>
                <w:color w:val="auto"/>
                <w:lang w:eastAsia="es-EC"/>
              </w:rPr>
              <w:t>CLINICAS Y HOSPITALES</w:t>
            </w:r>
          </w:p>
        </w:tc>
        <w:tc>
          <w:tcPr>
            <w:tcW w:w="2553" w:type="dxa"/>
            <w:gridSpan w:val="2"/>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lang w:eastAsia="es-EC"/>
              </w:rPr>
            </w:pPr>
            <w:r w:rsidRPr="00CB4794">
              <w:rPr>
                <w:rFonts w:ascii="Times New Roman" w:eastAsia="Times New Roman" w:hAnsi="Times New Roman" w:cs="Calibri"/>
                <w:color w:val="auto"/>
                <w:lang w:eastAsia="es-EC"/>
              </w:rPr>
              <w:t>AÑOS</w:t>
            </w:r>
          </w:p>
        </w:tc>
        <w:tc>
          <w:tcPr>
            <w:tcW w:w="767"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00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HH1</w:t>
            </w:r>
          </w:p>
        </w:tc>
        <w:tc>
          <w:tcPr>
            <w:tcW w:w="62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94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HH1</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310"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2009</w:t>
            </w:r>
          </w:p>
        </w:tc>
        <w:tc>
          <w:tcPr>
            <w:tcW w:w="1243"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2010</w:t>
            </w:r>
          </w:p>
        </w:tc>
        <w:tc>
          <w:tcPr>
            <w:tcW w:w="767"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w:t>
            </w:r>
          </w:p>
        </w:tc>
        <w:tc>
          <w:tcPr>
            <w:tcW w:w="100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2010</w:t>
            </w:r>
          </w:p>
        </w:tc>
        <w:tc>
          <w:tcPr>
            <w:tcW w:w="62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w:t>
            </w:r>
          </w:p>
        </w:tc>
        <w:tc>
          <w:tcPr>
            <w:tcW w:w="94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2009</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SALUDCOOP</w:t>
            </w:r>
          </w:p>
        </w:tc>
        <w:tc>
          <w:tcPr>
            <w:tcW w:w="13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3.809.775,63</w:t>
            </w:r>
          </w:p>
        </w:tc>
        <w:tc>
          <w:tcPr>
            <w:tcW w:w="124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5.389.768,368</w:t>
            </w:r>
          </w:p>
        </w:tc>
        <w:tc>
          <w:tcPr>
            <w:tcW w:w="76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53,94</w:t>
            </w:r>
          </w:p>
        </w:tc>
        <w:tc>
          <w:tcPr>
            <w:tcW w:w="10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2909,81</w:t>
            </w:r>
          </w:p>
        </w:tc>
        <w:tc>
          <w:tcPr>
            <w:tcW w:w="6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0,83</w:t>
            </w:r>
          </w:p>
        </w:tc>
        <w:tc>
          <w:tcPr>
            <w:tcW w:w="9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0,69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CENTRO  FETALPRONATAL </w:t>
            </w:r>
          </w:p>
        </w:tc>
        <w:tc>
          <w:tcPr>
            <w:tcW w:w="13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102.921,32</w:t>
            </w:r>
          </w:p>
        </w:tc>
        <w:tc>
          <w:tcPr>
            <w:tcW w:w="124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199.264,26</w:t>
            </w:r>
          </w:p>
        </w:tc>
        <w:tc>
          <w:tcPr>
            <w:tcW w:w="76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1,99</w:t>
            </w:r>
          </w:p>
        </w:tc>
        <w:tc>
          <w:tcPr>
            <w:tcW w:w="10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3,98</w:t>
            </w:r>
          </w:p>
        </w:tc>
        <w:tc>
          <w:tcPr>
            <w:tcW w:w="6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0,02</w:t>
            </w:r>
          </w:p>
        </w:tc>
        <w:tc>
          <w:tcPr>
            <w:tcW w:w="9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PANAMERICANA </w:t>
            </w:r>
          </w:p>
        </w:tc>
        <w:tc>
          <w:tcPr>
            <w:tcW w:w="13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4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3.170.056,55</w:t>
            </w:r>
          </w:p>
        </w:tc>
        <w:tc>
          <w:tcPr>
            <w:tcW w:w="76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31,73</w:t>
            </w:r>
          </w:p>
        </w:tc>
        <w:tc>
          <w:tcPr>
            <w:tcW w:w="10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1006,60</w:t>
            </w:r>
          </w:p>
        </w:tc>
        <w:tc>
          <w:tcPr>
            <w:tcW w:w="6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9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SANTAMARIA</w:t>
            </w:r>
          </w:p>
        </w:tc>
        <w:tc>
          <w:tcPr>
            <w:tcW w:w="13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484.238,80</w:t>
            </w:r>
          </w:p>
        </w:tc>
        <w:tc>
          <w:tcPr>
            <w:tcW w:w="124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1.103.694,09</w:t>
            </w:r>
          </w:p>
        </w:tc>
        <w:tc>
          <w:tcPr>
            <w:tcW w:w="76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11,05</w:t>
            </w:r>
          </w:p>
        </w:tc>
        <w:tc>
          <w:tcPr>
            <w:tcW w:w="10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122,02</w:t>
            </w:r>
          </w:p>
        </w:tc>
        <w:tc>
          <w:tcPr>
            <w:tcW w:w="6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0,11</w:t>
            </w:r>
          </w:p>
        </w:tc>
        <w:tc>
          <w:tcPr>
            <w:tcW w:w="9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0,01</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CLINICA SAN LUIS </w:t>
            </w:r>
          </w:p>
        </w:tc>
        <w:tc>
          <w:tcPr>
            <w:tcW w:w="13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15.009,09</w:t>
            </w:r>
          </w:p>
        </w:tc>
        <w:tc>
          <w:tcPr>
            <w:tcW w:w="124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29.076,17</w:t>
            </w:r>
          </w:p>
        </w:tc>
        <w:tc>
          <w:tcPr>
            <w:tcW w:w="76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0,29</w:t>
            </w:r>
          </w:p>
        </w:tc>
        <w:tc>
          <w:tcPr>
            <w:tcW w:w="10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0,08</w:t>
            </w:r>
          </w:p>
        </w:tc>
        <w:tc>
          <w:tcPr>
            <w:tcW w:w="6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9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CLINICA PARKER</w:t>
            </w:r>
          </w:p>
        </w:tc>
        <w:tc>
          <w:tcPr>
            <w:tcW w:w="13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4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0,00</w:t>
            </w:r>
          </w:p>
        </w:tc>
        <w:tc>
          <w:tcPr>
            <w:tcW w:w="76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0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6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9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INREUMI</w:t>
            </w:r>
          </w:p>
        </w:tc>
        <w:tc>
          <w:tcPr>
            <w:tcW w:w="13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72.769,22</w:t>
            </w:r>
          </w:p>
        </w:tc>
        <w:tc>
          <w:tcPr>
            <w:tcW w:w="124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62.276,22</w:t>
            </w:r>
          </w:p>
        </w:tc>
        <w:tc>
          <w:tcPr>
            <w:tcW w:w="76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0,62</w:t>
            </w:r>
          </w:p>
        </w:tc>
        <w:tc>
          <w:tcPr>
            <w:tcW w:w="10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0,39</w:t>
            </w:r>
          </w:p>
        </w:tc>
        <w:tc>
          <w:tcPr>
            <w:tcW w:w="6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0,02</w:t>
            </w:r>
          </w:p>
        </w:tc>
        <w:tc>
          <w:tcPr>
            <w:tcW w:w="9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CLIMEDINOR</w:t>
            </w:r>
          </w:p>
        </w:tc>
        <w:tc>
          <w:tcPr>
            <w:tcW w:w="13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 </w:t>
            </w:r>
          </w:p>
        </w:tc>
        <w:tc>
          <w:tcPr>
            <w:tcW w:w="124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0,00</w:t>
            </w:r>
          </w:p>
        </w:tc>
        <w:tc>
          <w:tcPr>
            <w:tcW w:w="76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0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6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9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xml:space="preserve">COMPARASAD </w:t>
            </w:r>
          </w:p>
        </w:tc>
        <w:tc>
          <w:tcPr>
            <w:tcW w:w="13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14.567,90</w:t>
            </w:r>
          </w:p>
        </w:tc>
        <w:tc>
          <w:tcPr>
            <w:tcW w:w="124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13.987,79</w:t>
            </w:r>
          </w:p>
        </w:tc>
        <w:tc>
          <w:tcPr>
            <w:tcW w:w="76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0,14</w:t>
            </w:r>
          </w:p>
        </w:tc>
        <w:tc>
          <w:tcPr>
            <w:tcW w:w="10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0,02</w:t>
            </w:r>
          </w:p>
        </w:tc>
        <w:tc>
          <w:tcPr>
            <w:tcW w:w="6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9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CERNIMED</w:t>
            </w:r>
          </w:p>
        </w:tc>
        <w:tc>
          <w:tcPr>
            <w:tcW w:w="13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84.045,40</w:t>
            </w:r>
          </w:p>
        </w:tc>
        <w:tc>
          <w:tcPr>
            <w:tcW w:w="1243"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8"/>
                <w:szCs w:val="18"/>
                <w:lang w:eastAsia="es-EC"/>
              </w:rPr>
            </w:pPr>
            <w:r w:rsidRPr="00CB4794">
              <w:rPr>
                <w:rFonts w:ascii="Times New Roman" w:eastAsia="Times New Roman" w:hAnsi="Times New Roman" w:cs="Calibri"/>
                <w:color w:val="auto"/>
                <w:sz w:val="18"/>
                <w:szCs w:val="18"/>
                <w:lang w:eastAsia="es-EC"/>
              </w:rPr>
              <w:t>23.538,84</w:t>
            </w:r>
          </w:p>
        </w:tc>
        <w:tc>
          <w:tcPr>
            <w:tcW w:w="76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0,24</w:t>
            </w:r>
          </w:p>
        </w:tc>
        <w:tc>
          <w:tcPr>
            <w:tcW w:w="10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0,06</w:t>
            </w:r>
          </w:p>
        </w:tc>
        <w:tc>
          <w:tcPr>
            <w:tcW w:w="6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0,02</w:t>
            </w:r>
          </w:p>
        </w:tc>
        <w:tc>
          <w:tcPr>
            <w:tcW w:w="9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15"/>
        </w:trPr>
        <w:tc>
          <w:tcPr>
            <w:cnfStyle w:val="001000000000" w:firstRow="0" w:lastRow="0" w:firstColumn="1" w:lastColumn="0" w:oddVBand="0" w:evenVBand="0" w:oddHBand="0" w:evenHBand="0" w:firstRowFirstColumn="0" w:firstRowLastColumn="0" w:lastRowFirstColumn="0" w:lastRowLastColumn="0"/>
            <w:tcW w:w="2560" w:type="dxa"/>
            <w:noWrap/>
          </w:tcPr>
          <w:p w:rsidR="00134024" w:rsidRPr="00CB4794" w:rsidRDefault="00134024" w:rsidP="00CB4794">
            <w:pPr>
              <w:rPr>
                <w:rFonts w:ascii="Times New Roman" w:eastAsia="Times New Roman" w:hAnsi="Times New Roman" w:cs="Calibri"/>
                <w:color w:val="auto"/>
                <w:lang w:eastAsia="es-EC"/>
              </w:rPr>
            </w:pPr>
          </w:p>
        </w:tc>
        <w:tc>
          <w:tcPr>
            <w:tcW w:w="13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4.583.327,36</w:t>
            </w:r>
          </w:p>
        </w:tc>
        <w:tc>
          <w:tcPr>
            <w:tcW w:w="1243"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9.991.662,60</w:t>
            </w:r>
          </w:p>
        </w:tc>
        <w:tc>
          <w:tcPr>
            <w:tcW w:w="767"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100</w:t>
            </w:r>
          </w:p>
        </w:tc>
        <w:tc>
          <w:tcPr>
            <w:tcW w:w="1000"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6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1,00</w:t>
            </w:r>
          </w:p>
        </w:tc>
        <w:tc>
          <w:tcPr>
            <w:tcW w:w="940"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r>
    </w:tbl>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I Instituto de Salud Pública</w:t>
      </w:r>
    </w:p>
    <w:p w:rsidR="00134024" w:rsidRPr="00CB4794" w:rsidRDefault="00134024" w:rsidP="00134024">
      <w:pPr>
        <w:contextualSpacing/>
        <w:rPr>
          <w:sz w:val="20"/>
          <w:szCs w:val="20"/>
        </w:rPr>
      </w:pPr>
    </w:p>
    <w:p w:rsidR="00134024" w:rsidRPr="00CB4794" w:rsidRDefault="00134024" w:rsidP="00134024">
      <w:pPr>
        <w:contextualSpacing/>
      </w:pPr>
    </w:p>
    <w:p w:rsidR="00134024" w:rsidRPr="00CB4794" w:rsidRDefault="00134024" w:rsidP="00134024">
      <w:pPr>
        <w:contextualSpacing/>
        <w:jc w:val="both"/>
        <w:rPr>
          <w:rFonts w:cstheme="majorHAnsi"/>
        </w:rPr>
      </w:pPr>
      <w:r w:rsidRPr="00CB4794">
        <w:rPr>
          <w:rFonts w:cstheme="majorHAnsi"/>
        </w:rPr>
        <w:t>El cuadro representa los cálculos de concentración de los años 2009-2010, primero se tiene los porcentajes de rentabilidad y luego realizamos el cálculo de concentración con índice de herfindahl y el índice C4 que define como la participación relativa acumulada dentro de clínicas y hospitales</w:t>
      </w:r>
      <w:r w:rsidRPr="00CB4794">
        <w:rPr>
          <w:rFonts w:cstheme="majorHAnsi"/>
          <w:vanish/>
        </w:rPr>
        <w:br/>
      </w:r>
      <w:r w:rsidRPr="00CB4794">
        <w:rPr>
          <w:rFonts w:cstheme="majorHAnsi"/>
        </w:rPr>
        <w:t>.</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center"/>
        <w:rPr>
          <w:b/>
        </w:rPr>
      </w:pPr>
      <w:r w:rsidRPr="00CB4794">
        <w:rPr>
          <w:b/>
        </w:rPr>
        <w:t>GRAFICO N° 5</w:t>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noProof/>
          <w:sz w:val="20"/>
          <w:szCs w:val="20"/>
          <w:lang w:val="es-EC" w:eastAsia="es-EC"/>
        </w:rPr>
        <w:drawing>
          <wp:inline distT="0" distB="0" distL="0" distR="0">
            <wp:extent cx="5457825" cy="3152775"/>
            <wp:effectExtent l="19050" t="0" r="9525" b="0"/>
            <wp:docPr id="19"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both"/>
        <w:rPr>
          <w:rFonts w:cstheme="majorHAnsi"/>
        </w:rPr>
      </w:pPr>
      <w:r w:rsidRPr="00CB4794">
        <w:rPr>
          <w:rFonts w:cstheme="majorHAnsi"/>
        </w:rPr>
        <w:t>En este grafico podemos observar el porcentaje mayor de activos de SALUDCOOP, con un 83% de las 10 clínicas analizadas de Guayaquil.  Luego le sigue la Clínica Santa María con un 11% del total. El mayor porcentaje lo ocupa SALUDCOOP en relación de las demás clínicas</w:t>
      </w:r>
    </w:p>
    <w:p w:rsidR="00134024" w:rsidRPr="00CB4794" w:rsidRDefault="00134024" w:rsidP="00134024">
      <w:pPr>
        <w:contextualSpacing/>
        <w:jc w:val="center"/>
        <w:rPr>
          <w:rFonts w:cstheme="majorHAnsi"/>
          <w:b/>
        </w:rPr>
      </w:pPr>
    </w:p>
    <w:p w:rsidR="00134024" w:rsidRPr="00CB4794" w:rsidRDefault="00134024" w:rsidP="00134024">
      <w:pPr>
        <w:contextualSpacing/>
        <w:jc w:val="center"/>
        <w:rPr>
          <w:rFonts w:cstheme="majorHAnsi"/>
          <w:b/>
        </w:rPr>
      </w:pPr>
    </w:p>
    <w:p w:rsidR="00134024" w:rsidRPr="00CB4794" w:rsidRDefault="00134024" w:rsidP="00134024">
      <w:pPr>
        <w:contextualSpacing/>
        <w:jc w:val="center"/>
        <w:rPr>
          <w:rFonts w:cstheme="majorHAnsi"/>
          <w:b/>
        </w:rPr>
      </w:pPr>
    </w:p>
    <w:p w:rsidR="00134024" w:rsidRPr="00CB4794" w:rsidRDefault="00134024" w:rsidP="00134024">
      <w:pPr>
        <w:contextualSpacing/>
        <w:jc w:val="center"/>
        <w:rPr>
          <w:rFonts w:cstheme="majorHAnsi"/>
          <w:b/>
        </w:rPr>
      </w:pPr>
    </w:p>
    <w:p w:rsidR="00134024" w:rsidRPr="00CB4794" w:rsidRDefault="00134024" w:rsidP="00134024">
      <w:pPr>
        <w:contextualSpacing/>
        <w:jc w:val="center"/>
        <w:rPr>
          <w:rFonts w:cstheme="majorHAnsi"/>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rPr>
        <w:t>GRAFICO N° 6</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noProof/>
          <w:sz w:val="20"/>
          <w:szCs w:val="20"/>
          <w:lang w:val="es-EC" w:eastAsia="es-EC"/>
        </w:rPr>
        <w:drawing>
          <wp:inline distT="0" distB="0" distL="0" distR="0">
            <wp:extent cx="5772150" cy="4381500"/>
            <wp:effectExtent l="19050" t="0" r="19050" b="0"/>
            <wp:docPr id="2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sz w:val="20"/>
          <w:szCs w:val="20"/>
        </w:rPr>
        <w:t>Así mismo en el año 2010 SALUDCOOP representa un 53% del total de clínicas estudiadas, pero la Clínica Panamericana aumenta sus activos y representa el 31.73% seguida de la Clínica Santa María con un 11.05 %</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center"/>
        <w:rPr>
          <w:b/>
        </w:rPr>
      </w:pPr>
      <w:r w:rsidRPr="00CB4794">
        <w:rPr>
          <w:b/>
        </w:rPr>
        <w:t>GRAFICO N° 7</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5303520" cy="3566160"/>
            <wp:effectExtent l="0" t="0" r="0" b="0"/>
            <wp:docPr id="2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134024" w:rsidRPr="00CB4794" w:rsidRDefault="00134024" w:rsidP="00134024">
      <w:pPr>
        <w:contextualSpacing/>
        <w:rPr>
          <w:sz w:val="20"/>
          <w:szCs w:val="20"/>
        </w:rPr>
      </w:pP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b/>
        </w:rPr>
      </w:pPr>
    </w:p>
    <w:p w:rsidR="00134024" w:rsidRPr="00CB4794" w:rsidRDefault="00134024" w:rsidP="00134024">
      <w:pPr>
        <w:contextualSpacing/>
        <w:jc w:val="both"/>
        <w:rPr>
          <w:rFonts w:cstheme="majorHAnsi"/>
        </w:rPr>
      </w:pPr>
      <w:r w:rsidRPr="00CB4794">
        <w:rPr>
          <w:rFonts w:cstheme="majorHAnsi"/>
        </w:rPr>
        <w:t>En el año 2009 la concentración esta en SALUDCOOP, la cual concentra 6909,35 dólares de los activos. Esta concentración se debe a que esta entidad tienen sociedades con aseguradoras de Quito y Guayaquil y bróker de seguros que representan grandes rubros en lo que se refiere a Salud.</w:t>
      </w:r>
    </w:p>
    <w:p w:rsidR="00134024" w:rsidRPr="00CB4794" w:rsidRDefault="00134024" w:rsidP="00134024">
      <w:pPr>
        <w:contextualSpacing/>
        <w:jc w:val="both"/>
        <w:rPr>
          <w:rFonts w:cstheme="majorHAnsi"/>
        </w:rPr>
      </w:pPr>
      <w:r w:rsidRPr="00CB4794">
        <w:rPr>
          <w:rFonts w:cstheme="majorHAnsi"/>
        </w:rPr>
        <w:t>Estas aseguradoras poseen ramos de vida y asistencia médica por lo que los accionistas de estas también tienen acciones en SALUDCOOP.</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N°8</w:t>
      </w:r>
    </w:p>
    <w:p w:rsidR="00134024" w:rsidRPr="00CB4794" w:rsidRDefault="00134024" w:rsidP="00134024">
      <w:pPr>
        <w:contextualSpacing/>
        <w:jc w:val="center"/>
        <w:rPr>
          <w:b/>
        </w:rPr>
      </w:pPr>
    </w:p>
    <w:p w:rsidR="00134024" w:rsidRPr="00CB4794" w:rsidRDefault="00134024" w:rsidP="00134024">
      <w:pPr>
        <w:contextualSpacing/>
        <w:rPr>
          <w:sz w:val="20"/>
          <w:szCs w:val="20"/>
        </w:rPr>
      </w:pPr>
    </w:p>
    <w:p w:rsidR="00134024" w:rsidRPr="00CB4794" w:rsidRDefault="00134024" w:rsidP="00134024">
      <w:pPr>
        <w:contextualSpacing/>
      </w:pPr>
      <w:r w:rsidRPr="00CB4794">
        <w:rPr>
          <w:noProof/>
          <w:lang w:val="es-EC" w:eastAsia="es-EC"/>
        </w:rPr>
        <w:drawing>
          <wp:inline distT="0" distB="0" distL="0" distR="0">
            <wp:extent cx="5612130" cy="3757295"/>
            <wp:effectExtent l="19050" t="0" r="26670" b="0"/>
            <wp:docPr id="29"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rPr>
          <w:rFonts w:cstheme="majorHAnsi"/>
        </w:rPr>
      </w:pPr>
    </w:p>
    <w:p w:rsidR="00134024" w:rsidRPr="00CB4794" w:rsidRDefault="00134024" w:rsidP="00134024">
      <w:pPr>
        <w:contextualSpacing/>
        <w:rPr>
          <w:rFonts w:cstheme="majorHAnsi"/>
        </w:rPr>
      </w:pPr>
      <w:r w:rsidRPr="00CB4794">
        <w:rPr>
          <w:rFonts w:cstheme="majorHAnsi"/>
        </w:rPr>
        <w:t>Igual que en el 2009, la concentración la tiene SALUDCOOP pero la Clínica Panamericana también concentra un gran porcentaje de mercado. La concentración d esta entidad es 2909,91,</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rPr>
          <w:sz w:val="28"/>
          <w:szCs w:val="28"/>
        </w:rPr>
      </w:pPr>
    </w:p>
    <w:p w:rsidR="00134024" w:rsidRPr="00CB4794" w:rsidRDefault="00134024" w:rsidP="00134024">
      <w:pPr>
        <w:pStyle w:val="Ttulo2"/>
        <w:spacing w:line="240" w:lineRule="auto"/>
        <w:rPr>
          <w:rFonts w:ascii="Times New Roman" w:hAnsi="Times New Roman"/>
          <w:color w:val="auto"/>
          <w:sz w:val="28"/>
        </w:rPr>
      </w:pPr>
      <w:bookmarkStart w:id="17" w:name="_Toc310863227"/>
      <w:bookmarkStart w:id="18" w:name="_Toc310868900"/>
      <w:r w:rsidRPr="00CB4794">
        <w:rPr>
          <w:rFonts w:ascii="Times New Roman" w:hAnsi="Times New Roman"/>
          <w:color w:val="auto"/>
          <w:sz w:val="28"/>
        </w:rPr>
        <w:t>ANÁLISIS DE LA RENTABILIDAD DE CLINICAS Y HOSPITALES DE QUITO</w:t>
      </w:r>
      <w:bookmarkEnd w:id="17"/>
      <w:bookmarkEnd w:id="18"/>
    </w:p>
    <w:p w:rsidR="00134024" w:rsidRPr="00CB4794" w:rsidRDefault="00134024" w:rsidP="00134024">
      <w:pPr>
        <w:contextualSpacing/>
      </w:pPr>
    </w:p>
    <w:p w:rsidR="00134024" w:rsidRPr="00CB4794" w:rsidRDefault="00134024" w:rsidP="00134024">
      <w:pPr>
        <w:pStyle w:val="Ttulo3"/>
        <w:spacing w:line="240" w:lineRule="auto"/>
        <w:rPr>
          <w:rFonts w:ascii="Times New Roman" w:hAnsi="Times New Roman"/>
          <w:b w:val="0"/>
          <w:color w:val="auto"/>
        </w:rPr>
      </w:pPr>
      <w:bookmarkStart w:id="19" w:name="_Toc310868901"/>
      <w:r w:rsidRPr="00CB4794">
        <w:rPr>
          <w:rFonts w:ascii="Times New Roman" w:hAnsi="Times New Roman"/>
          <w:b w:val="0"/>
          <w:color w:val="auto"/>
        </w:rPr>
        <w:t>CALCULO  DE CONCENTRACIÓN DE RENTABILIDAD 2009-2010</w:t>
      </w:r>
      <w:bookmarkEnd w:id="19"/>
    </w:p>
    <w:p w:rsidR="00134024" w:rsidRPr="00CB4794" w:rsidRDefault="00134024" w:rsidP="00134024"/>
    <w:p w:rsidR="00134024" w:rsidRPr="00CB4794" w:rsidRDefault="00134024" w:rsidP="00134024">
      <w:pPr>
        <w:contextualSpacing/>
        <w:jc w:val="center"/>
      </w:pPr>
      <w:r w:rsidRPr="00CB4794">
        <w:t>CUADRO N°7</w:t>
      </w:r>
    </w:p>
    <w:p w:rsidR="00134024" w:rsidRPr="00CB4794" w:rsidRDefault="00134024" w:rsidP="00134024">
      <w:pPr>
        <w:contextualSpacing/>
        <w:jc w:val="center"/>
      </w:pPr>
    </w:p>
    <w:p w:rsidR="00134024" w:rsidRPr="00CB4794" w:rsidRDefault="00134024" w:rsidP="00134024">
      <w:pPr>
        <w:contextualSpacing/>
        <w:jc w:val="center"/>
      </w:pPr>
    </w:p>
    <w:tbl>
      <w:tblPr>
        <w:tblStyle w:val="Sombreadomedio1-nfasis4"/>
        <w:tblW w:w="8838" w:type="dxa"/>
        <w:tblLook w:val="04A0" w:firstRow="1" w:lastRow="0" w:firstColumn="1" w:lastColumn="0" w:noHBand="0" w:noVBand="1"/>
      </w:tblPr>
      <w:tblGrid>
        <w:gridCol w:w="2069"/>
        <w:gridCol w:w="1535"/>
        <w:gridCol w:w="1614"/>
        <w:gridCol w:w="711"/>
        <w:gridCol w:w="1141"/>
        <w:gridCol w:w="271"/>
        <w:gridCol w:w="271"/>
        <w:gridCol w:w="711"/>
        <w:gridCol w:w="1121"/>
      </w:tblGrid>
      <w:tr w:rsidR="00134024" w:rsidRPr="00CB47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color w:val="auto"/>
              </w:rPr>
            </w:pPr>
            <w:r w:rsidRPr="00CB4794">
              <w:rPr>
                <w:rFonts w:ascii="Times New Roman" w:eastAsia="Times New Roman" w:hAnsi="Times New Roman" w:cs="Times New Roman"/>
                <w:color w:val="auto"/>
              </w:rPr>
              <w:t> </w:t>
            </w:r>
          </w:p>
        </w:tc>
        <w:tc>
          <w:tcPr>
            <w:tcW w:w="1535"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2009</w:t>
            </w:r>
          </w:p>
        </w:tc>
        <w:tc>
          <w:tcPr>
            <w:tcW w:w="1614"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2010</w:t>
            </w:r>
          </w:p>
        </w:tc>
        <w:tc>
          <w:tcPr>
            <w:tcW w:w="627"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w:t>
            </w:r>
          </w:p>
        </w:tc>
        <w:tc>
          <w:tcPr>
            <w:tcW w:w="1141"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HH1 2009</w:t>
            </w:r>
          </w:p>
        </w:tc>
        <w:tc>
          <w:tcPr>
            <w:tcW w:w="49"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 </w:t>
            </w:r>
          </w:p>
        </w:tc>
        <w:tc>
          <w:tcPr>
            <w:tcW w:w="55"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 </w:t>
            </w:r>
          </w:p>
        </w:tc>
        <w:tc>
          <w:tcPr>
            <w:tcW w:w="627"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w:t>
            </w:r>
          </w:p>
        </w:tc>
        <w:tc>
          <w:tcPr>
            <w:tcW w:w="1121"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CLIN.  MA. AUXILIADORA</w:t>
            </w:r>
          </w:p>
        </w:tc>
        <w:tc>
          <w:tcPr>
            <w:tcW w:w="153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460,62</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6.082,96</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0,03</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0,00</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0,27</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0,07</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CENTRO CEFAVIS  </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-5.474,81</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4.774,03</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-0,30</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0,09</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0,21</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CLINICA  GALENOS</w:t>
            </w:r>
          </w:p>
        </w:tc>
        <w:tc>
          <w:tcPr>
            <w:tcW w:w="153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10.748,59</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13.744,45</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0,59</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0,35</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0,61</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0,37</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CLINICA MODERNA </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34.497,69</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25.917,17</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1,90</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3,62</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1,15</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1,32</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CLINICA  OLIMPUS </w:t>
            </w:r>
          </w:p>
        </w:tc>
        <w:tc>
          <w:tcPr>
            <w:tcW w:w="153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6.276,72</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1.708,24</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0,35</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0,12</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0,08</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0,01</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CLINICA SAN GABRIEL  </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26.349,59</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37.279,49</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1,45</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2,11</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1,65</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2,72</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CLIGEVISA </w:t>
            </w:r>
          </w:p>
        </w:tc>
        <w:tc>
          <w:tcPr>
            <w:tcW w:w="1535"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 </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3.324,05</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0,00</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0,15</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0,02</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CLINICA CONOCOTO</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1.383,48</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2.738,76</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0,08</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0,01</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0,12</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0,01</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CLINICA  CEMEDSSO </w:t>
            </w:r>
          </w:p>
        </w:tc>
        <w:tc>
          <w:tcPr>
            <w:tcW w:w="1535"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 </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23.888,05</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0,00</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1,06</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1,12</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HOSPITAL INGLES .</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38.331,89</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224.487,34</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2,11</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4,47</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9,94</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98,75</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CENTROMAMARIA </w:t>
            </w:r>
          </w:p>
        </w:tc>
        <w:tc>
          <w:tcPr>
            <w:tcW w:w="1535"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 </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12.689,28</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0,00</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0,56</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0,32</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HOS. METROPOLITANO</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540.000,00</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560.000,00</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29,78</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886,78</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24,79</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614,53</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CLIN. INTERNACIONAL</w:t>
            </w:r>
          </w:p>
        </w:tc>
        <w:tc>
          <w:tcPr>
            <w:tcW w:w="153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180.000,00</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200.000,00</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9,93</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98,53</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8,85</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78,38</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NOVACLINICA</w:t>
            </w:r>
          </w:p>
        </w:tc>
        <w:tc>
          <w:tcPr>
            <w:tcW w:w="153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40.821,28</w:t>
            </w:r>
          </w:p>
        </w:tc>
        <w:tc>
          <w:tcPr>
            <w:tcW w:w="1614"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242.395,98</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2,25</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5,07</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10,73</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115,14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TECOCEL S.A.  </w:t>
            </w:r>
          </w:p>
        </w:tc>
        <w:tc>
          <w:tcPr>
            <w:tcW w:w="153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939.977,25</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8"/>
                <w:szCs w:val="18"/>
              </w:rPr>
            </w:pPr>
            <w:r w:rsidRPr="00CB4794">
              <w:rPr>
                <w:rFonts w:ascii="Times New Roman" w:eastAsia="Times New Roman" w:hAnsi="Times New Roman" w:cs="Times New Roman"/>
                <w:sz w:val="18"/>
                <w:szCs w:val="18"/>
              </w:rPr>
              <w:t>899.977,25</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51,84</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2686,96</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39,84</w:t>
            </w:r>
          </w:p>
        </w:tc>
        <w:tc>
          <w:tcPr>
            <w:tcW w:w="11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1587,19</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CLINICA INGLATERRA</w:t>
            </w:r>
          </w:p>
        </w:tc>
        <w:tc>
          <w:tcPr>
            <w:tcW w:w="1535"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8"/>
                <w:szCs w:val="18"/>
              </w:rPr>
            </w:pPr>
            <w:r w:rsidRPr="00CB4794">
              <w:rPr>
                <w:rFonts w:ascii="Times New Roman" w:eastAsia="Times New Roman" w:hAnsi="Times New Roman" w:cs="Times New Roman"/>
                <w:b/>
                <w:bCs/>
                <w:sz w:val="18"/>
                <w:szCs w:val="18"/>
              </w:rPr>
              <w:t> </w:t>
            </w:r>
          </w:p>
        </w:tc>
        <w:tc>
          <w:tcPr>
            <w:tcW w:w="1614"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b/>
                <w:bCs/>
                <w:sz w:val="18"/>
                <w:szCs w:val="18"/>
              </w:rPr>
            </w:pPr>
            <w:r w:rsidRPr="00CB4794">
              <w:rPr>
                <w:rFonts w:ascii="Times New Roman" w:eastAsia="Times New Roman" w:hAnsi="Times New Roman" w:cs="Times New Roman"/>
                <w:b/>
                <w:bCs/>
                <w:sz w:val="18"/>
                <w:szCs w:val="18"/>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w:t>
            </w:r>
          </w:p>
        </w:tc>
        <w:tc>
          <w:tcPr>
            <w:tcW w:w="114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w:t>
            </w:r>
          </w:p>
        </w:tc>
        <w:tc>
          <w:tcPr>
            <w:tcW w:w="49"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0,00</w:t>
            </w:r>
          </w:p>
        </w:tc>
        <w:tc>
          <w:tcPr>
            <w:tcW w:w="1121"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069" w:type="dxa"/>
            <w:noWrap/>
          </w:tcPr>
          <w:p w:rsidR="00134024" w:rsidRPr="00CB4794" w:rsidRDefault="00134024" w:rsidP="00CB4794">
            <w:pPr>
              <w:rPr>
                <w:rFonts w:ascii="Times New Roman" w:eastAsia="Times New Roman" w:hAnsi="Times New Roman" w:cs="Times New Roman"/>
              </w:rPr>
            </w:pPr>
            <w:r w:rsidRPr="00CB4794">
              <w:rPr>
                <w:rFonts w:ascii="Times New Roman" w:eastAsia="Times New Roman" w:hAnsi="Times New Roman" w:cs="Times New Roman"/>
              </w:rPr>
              <w:t> </w:t>
            </w:r>
          </w:p>
        </w:tc>
        <w:tc>
          <w:tcPr>
            <w:tcW w:w="153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CB4794">
              <w:rPr>
                <w:rFonts w:ascii="Times New Roman" w:eastAsia="Times New Roman" w:hAnsi="Times New Roman" w:cs="Times New Roman"/>
                <w:b/>
                <w:bCs/>
                <w:sz w:val="18"/>
                <w:szCs w:val="18"/>
              </w:rPr>
              <w:t>1.813.372,30</w:t>
            </w:r>
          </w:p>
        </w:tc>
        <w:tc>
          <w:tcPr>
            <w:tcW w:w="161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sz w:val="18"/>
                <w:szCs w:val="18"/>
              </w:rPr>
            </w:pPr>
            <w:r w:rsidRPr="00CB4794">
              <w:rPr>
                <w:rFonts w:ascii="Times New Roman" w:eastAsia="Times New Roman" w:hAnsi="Times New Roman" w:cs="Times New Roman"/>
                <w:b/>
                <w:bCs/>
                <w:sz w:val="18"/>
                <w:szCs w:val="18"/>
              </w:rPr>
              <w:t>2.259.007,05</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CB4794">
              <w:rPr>
                <w:rFonts w:ascii="Times New Roman" w:eastAsia="Times New Roman" w:hAnsi="Times New Roman" w:cs="Times New Roman"/>
                <w:b/>
                <w:bCs/>
              </w:rPr>
              <w:t>60,6</w:t>
            </w:r>
          </w:p>
        </w:tc>
        <w:tc>
          <w:tcPr>
            <w:tcW w:w="114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rPr>
            </w:pPr>
            <w:r w:rsidRPr="00CB4794">
              <w:rPr>
                <w:rFonts w:ascii="Times New Roman" w:eastAsia="Times New Roman" w:hAnsi="Times New Roman" w:cs="Times New Roman"/>
                <w:b/>
                <w:bCs/>
              </w:rPr>
              <w:t>3677,05</w:t>
            </w:r>
          </w:p>
        </w:tc>
        <w:tc>
          <w:tcPr>
            <w:tcW w:w="4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5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627"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c>
          <w:tcPr>
            <w:tcW w:w="1121"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rPr>
            </w:pPr>
            <w:r w:rsidRPr="00CB4794">
              <w:rPr>
                <w:rFonts w:ascii="Times New Roman" w:eastAsia="Times New Roman" w:hAnsi="Times New Roman" w:cs="Times New Roman"/>
              </w:rPr>
              <w:t> </w:t>
            </w:r>
          </w:p>
        </w:tc>
      </w:tr>
    </w:tbl>
    <w:p w:rsidR="00134024" w:rsidRPr="00CB4794" w:rsidRDefault="00134024" w:rsidP="00134024">
      <w:pPr>
        <w:contextualSpacing/>
        <w:jc w:val="center"/>
      </w:pP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 xml:space="preserve"> Instituto de Salud Pública-PUCE</w:t>
      </w:r>
    </w:p>
    <w:p w:rsidR="00134024" w:rsidRPr="00CB4794" w:rsidRDefault="00134024" w:rsidP="00134024">
      <w:pPr>
        <w:contextualSpacing/>
        <w:rPr>
          <w:sz w:val="20"/>
          <w:szCs w:val="20"/>
        </w:rPr>
      </w:pPr>
    </w:p>
    <w:p w:rsidR="00134024" w:rsidRPr="00CB4794" w:rsidRDefault="00134024" w:rsidP="00134024">
      <w:pPr>
        <w:contextualSpacing/>
        <w:jc w:val="both"/>
        <w:rPr>
          <w:rFonts w:cstheme="majorHAnsi"/>
        </w:rPr>
      </w:pPr>
      <w:r w:rsidRPr="00CB4794">
        <w:rPr>
          <w:rFonts w:cstheme="majorHAnsi"/>
        </w:rPr>
        <w:t>El cuadro representa los cálculos de concentración de los años 2009-2010, primero se tiene los porcentajes de rentabilidad y luego realizamos el cálculo de concentración con índice de herfindahl y el índice C4 que define como la participación relativa acumulada dentro de clínicas y hospitales</w:t>
      </w:r>
      <w:r w:rsidRPr="00CB4794">
        <w:rPr>
          <w:rFonts w:cstheme="majorHAnsi"/>
          <w:vanish/>
          <w:sz w:val="20"/>
          <w:szCs w:val="20"/>
        </w:rPr>
        <w:br/>
      </w:r>
      <w:r w:rsidRPr="00CB4794">
        <w:rPr>
          <w:rFonts w:cstheme="majorHAnsi"/>
        </w:rPr>
        <w:t>.</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rPr>
          <w:b/>
        </w:rPr>
      </w:pPr>
      <w:r w:rsidRPr="00CB4794">
        <w:rPr>
          <w:b/>
        </w:rPr>
        <w:t>GRAFICO N°9</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5901690" cy="4876800"/>
            <wp:effectExtent l="19050" t="0" r="22860" b="0"/>
            <wp:docPr id="3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 xml:space="preserve"> Instituto de Salud Pública-PUCE</w:t>
      </w:r>
    </w:p>
    <w:p w:rsidR="00134024" w:rsidRPr="00CB4794" w:rsidRDefault="00134024" w:rsidP="00134024">
      <w:pPr>
        <w:contextualSpacing/>
        <w:rPr>
          <w:sz w:val="20"/>
          <w:szCs w:val="20"/>
        </w:rPr>
      </w:pPr>
    </w:p>
    <w:p w:rsidR="00134024" w:rsidRPr="00CB4794" w:rsidRDefault="00134024" w:rsidP="00134024">
      <w:pPr>
        <w:contextualSpacing/>
        <w:jc w:val="both"/>
        <w:rPr>
          <w:sz w:val="20"/>
          <w:szCs w:val="20"/>
        </w:rPr>
      </w:pPr>
      <w:r w:rsidRPr="00CB4794">
        <w:rPr>
          <w:sz w:val="20"/>
          <w:szCs w:val="20"/>
        </w:rPr>
        <w:t>Observamos que  TECOCCEL es la entidad que tiene el mayor porcentaje de rentabilidad en el año 2009.</w:t>
      </w:r>
    </w:p>
    <w:p w:rsidR="00134024" w:rsidRPr="00CB4794" w:rsidRDefault="00134024" w:rsidP="00134024">
      <w:pPr>
        <w:contextualSpacing/>
        <w:jc w:val="both"/>
        <w:rPr>
          <w:sz w:val="20"/>
          <w:szCs w:val="20"/>
        </w:rPr>
      </w:pPr>
      <w:r w:rsidRPr="00CB4794">
        <w:rPr>
          <w:sz w:val="20"/>
          <w:szCs w:val="20"/>
        </w:rPr>
        <w:t>En la rentabilidad esta en TECOCCEL con un 51.84 %  con respecto a los 16 hospitales y clínicas analizado. Así mismo le sigue el HOSPITAL METROPOLITANO con 29,78% la CLÍNICA INTERNACIONAL con 9.93%</w:t>
      </w:r>
    </w:p>
    <w:p w:rsidR="00134024" w:rsidRPr="00CB4794" w:rsidRDefault="00134024" w:rsidP="00134024">
      <w:pPr>
        <w:contextualSpacing/>
        <w:jc w:val="both"/>
        <w:rPr>
          <w:sz w:val="20"/>
          <w:szCs w:val="20"/>
        </w:rPr>
      </w:pPr>
    </w:p>
    <w:p w:rsidR="00134024" w:rsidRPr="00CB4794" w:rsidRDefault="00134024" w:rsidP="00134024">
      <w:pPr>
        <w:contextualSpacing/>
        <w:jc w:val="both"/>
        <w:rPr>
          <w:sz w:val="20"/>
          <w:szCs w:val="20"/>
        </w:rPr>
      </w:pPr>
      <w:r w:rsidRPr="00CB4794">
        <w:rPr>
          <w:sz w:val="20"/>
          <w:szCs w:val="20"/>
        </w:rPr>
        <w:t>Por otro lado en la mayoría de balances analizados estas entidades reportan pérdida al organismo de control  (SUPERINTENDENCIA DE COMPAÑÍAS), este es el caso de NOVACLÍNICA, en cuyo balance encontramos pérdidas que representan -76.7% dólares.</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center"/>
        <w:rPr>
          <w:b/>
        </w:rPr>
      </w:pPr>
      <w:r w:rsidRPr="00CB4794">
        <w:rPr>
          <w:b/>
        </w:rPr>
        <w:t>GRAFICO N°10</w:t>
      </w:r>
    </w:p>
    <w:p w:rsidR="00134024" w:rsidRPr="00CB4794" w:rsidRDefault="00134024" w:rsidP="00134024">
      <w:pPr>
        <w:contextualSpacing/>
      </w:pPr>
    </w:p>
    <w:p w:rsidR="00134024" w:rsidRPr="00CB4794" w:rsidRDefault="00134024" w:rsidP="00134024">
      <w:pPr>
        <w:contextualSpacing/>
        <w:jc w:val="center"/>
      </w:pPr>
      <w:r w:rsidRPr="00CB4794">
        <w:rPr>
          <w:noProof/>
          <w:lang w:val="es-EC" w:eastAsia="es-EC"/>
        </w:rPr>
        <w:drawing>
          <wp:inline distT="0" distB="0" distL="0" distR="0">
            <wp:extent cx="5756910" cy="4145280"/>
            <wp:effectExtent l="19050" t="0" r="15240" b="7620"/>
            <wp:docPr id="36"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134024" w:rsidRPr="00CB4794" w:rsidRDefault="00134024" w:rsidP="00134024">
      <w:pPr>
        <w:contextualSpacing/>
        <w:jc w:val="cente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sz w:val="20"/>
          <w:szCs w:val="20"/>
        </w:rPr>
        <w:t xml:space="preserve">La mayor parte de concentración se encuentra en TECOCCEL ,  CLÍNICA INTERNACIONAL, HOSPITAL METROPOLITANO, NOVACLÍNICA  en una mínima proporción. </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center"/>
        <w:rPr>
          <w:sz w:val="20"/>
          <w:szCs w:val="20"/>
        </w:rPr>
      </w:pPr>
      <w:r w:rsidRPr="00CB4794">
        <w:rPr>
          <w:b/>
        </w:rPr>
        <w:t>GRAFICO N°11</w:t>
      </w:r>
    </w:p>
    <w:p w:rsidR="00134024" w:rsidRPr="00CB4794" w:rsidRDefault="00134024" w:rsidP="00134024">
      <w:pPr>
        <w:contextualSpacing/>
        <w:jc w:val="center"/>
        <w:rPr>
          <w:sz w:val="20"/>
          <w:szCs w:val="20"/>
        </w:rPr>
      </w:pPr>
      <w:r w:rsidRPr="00CB4794">
        <w:rPr>
          <w:noProof/>
          <w:sz w:val="20"/>
          <w:szCs w:val="20"/>
          <w:lang w:val="es-EC" w:eastAsia="es-EC"/>
        </w:rPr>
        <w:drawing>
          <wp:inline distT="0" distB="0" distL="0" distR="0">
            <wp:extent cx="5284470" cy="3322320"/>
            <wp:effectExtent l="19050" t="0" r="11430" b="0"/>
            <wp:docPr id="76"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sz w:val="20"/>
          <w:szCs w:val="20"/>
        </w:rPr>
        <w:t>Tecoccel, la Clínica Internacional, Hospital Metropolitano y Novaclínica  representan el 93% de las 16 clínicas y hospitales de Quito, mientras que las 14 restantes representan el 6%</w:t>
      </w:r>
    </w:p>
    <w:p w:rsidR="00134024" w:rsidRPr="00CB4794" w:rsidRDefault="00134024" w:rsidP="00134024">
      <w:pPr>
        <w:contextualSpacing/>
        <w:rPr>
          <w:sz w:val="20"/>
          <w:szCs w:val="20"/>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N°12</w:t>
      </w:r>
    </w:p>
    <w:p w:rsidR="00134024" w:rsidRPr="00CB4794" w:rsidRDefault="00134024" w:rsidP="00134024">
      <w:pPr>
        <w:contextualSpacing/>
        <w:rPr>
          <w:sz w:val="20"/>
          <w:szCs w:val="20"/>
        </w:rPr>
      </w:pPr>
    </w:p>
    <w:p w:rsidR="00134024" w:rsidRPr="00CB4794" w:rsidRDefault="00134024" w:rsidP="00134024">
      <w:pPr>
        <w:contextualSpacing/>
      </w:pPr>
      <w:r w:rsidRPr="00CB4794">
        <w:rPr>
          <w:noProof/>
          <w:lang w:val="es-EC" w:eastAsia="es-EC"/>
        </w:rPr>
        <w:drawing>
          <wp:inline distT="0" distB="0" distL="0" distR="0">
            <wp:extent cx="5878830" cy="4114800"/>
            <wp:effectExtent l="19050" t="0" r="26670" b="0"/>
            <wp:docPr id="77"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134024" w:rsidRPr="00CB4794" w:rsidRDefault="00134024" w:rsidP="00134024">
      <w:pPr>
        <w:contextualSpacing/>
        <w:rPr>
          <w:b/>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 xml:space="preserve"> 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r w:rsidRPr="00CB4794">
        <w:rPr>
          <w:sz w:val="20"/>
          <w:szCs w:val="20"/>
        </w:rPr>
        <w:t>Como podemos observar en el 2010 al igual que en 2009 el mayor porcentaje de rentabilidad esta en TECOCCEL  con un 39,84%  le sigue el HOSPITAL METROPOLITANO con un 24,79% NOVACLÍNICA 10.73%, y la CLÍNICA INTERNACIONAL con 8.85%.</w:t>
      </w: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pPr>
    </w:p>
    <w:p w:rsidR="00134024" w:rsidRPr="00CB4794" w:rsidRDefault="00134024" w:rsidP="00134024">
      <w:pPr>
        <w:contextualSpacing/>
        <w:jc w:val="center"/>
      </w:pPr>
    </w:p>
    <w:p w:rsidR="00134024" w:rsidRPr="00CB4794" w:rsidRDefault="00134024" w:rsidP="00134024">
      <w:pPr>
        <w:contextualSpacing/>
        <w:jc w:val="center"/>
        <w:rPr>
          <w:b/>
        </w:rPr>
      </w:pPr>
      <w:r w:rsidRPr="00CB4794">
        <w:rPr>
          <w:b/>
        </w:rPr>
        <w:t>GRAFICO N°13</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817870" cy="4693920"/>
            <wp:effectExtent l="19050" t="0" r="0" b="0"/>
            <wp:docPr id="3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 xml:space="preserve"> 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both"/>
        <w:rPr>
          <w:sz w:val="20"/>
          <w:szCs w:val="20"/>
        </w:rPr>
      </w:pPr>
      <w:r w:rsidRPr="00CB4794">
        <w:rPr>
          <w:sz w:val="20"/>
          <w:szCs w:val="20"/>
        </w:rPr>
        <w:t>Como podemos observar en el año 2010 la concentración está en TECOCCEL, HOSPITAL METROPOLITANO, NOVACLÍNICA, CLÍNICA INTERNACIONAL, Y HOSPITAL INGLES</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center"/>
      </w:pPr>
    </w:p>
    <w:p w:rsidR="00134024" w:rsidRPr="00CB4794" w:rsidRDefault="00134024" w:rsidP="00134024">
      <w:pPr>
        <w:contextualSpacing/>
        <w:jc w:val="center"/>
        <w:rPr>
          <w:b/>
        </w:rPr>
      </w:pPr>
      <w:r w:rsidRPr="00CB4794">
        <w:rPr>
          <w:b/>
        </w:rPr>
        <w:t>GRAFICO N°14</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pPr>
      <w:r w:rsidRPr="00CB4794">
        <w:rPr>
          <w:noProof/>
          <w:lang w:val="es-EC" w:eastAsia="es-EC"/>
        </w:rPr>
        <w:drawing>
          <wp:inline distT="0" distB="0" distL="0" distR="0">
            <wp:extent cx="4903470" cy="3848100"/>
            <wp:effectExtent l="19050" t="0" r="11430" b="0"/>
            <wp:docPr id="63"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jc w:val="both"/>
      </w:pPr>
      <w:r w:rsidRPr="00CB4794">
        <w:t>En conclusión en este gráfico podemos observar que las empresas que concentrar el 97% de las 16 clínicas y hospitales estudiados son TECOCCEL, HOSPITAL METROPOLITANO, NOVACLÍCA, CLÍNICA INTERNACIONAL. Mientras que las 12 clínicas y hospitales restantes solo concentran el 3% del total de rentabilidad de las entidades analizadas.</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pStyle w:val="Ttulo2"/>
        <w:spacing w:line="240" w:lineRule="auto"/>
        <w:rPr>
          <w:rFonts w:ascii="Times New Roman" w:hAnsi="Times New Roman"/>
          <w:b w:val="0"/>
          <w:color w:val="auto"/>
          <w:sz w:val="28"/>
        </w:rPr>
      </w:pPr>
      <w:bookmarkStart w:id="20" w:name="_Toc310868902"/>
      <w:r w:rsidRPr="00CB4794">
        <w:rPr>
          <w:rFonts w:ascii="Times New Roman" w:hAnsi="Times New Roman"/>
          <w:b w:val="0"/>
          <w:color w:val="auto"/>
          <w:sz w:val="28"/>
        </w:rPr>
        <w:t>ANALISIS DE RENTABILIDAD CLINICAS Y HOSPITALES GUAYAQUIL</w:t>
      </w:r>
      <w:bookmarkEnd w:id="20"/>
    </w:p>
    <w:p w:rsidR="00134024" w:rsidRPr="00CB4794" w:rsidRDefault="00134024" w:rsidP="00134024">
      <w:pPr>
        <w:contextualSpacing/>
        <w:rPr>
          <w:b/>
        </w:rPr>
      </w:pPr>
    </w:p>
    <w:p w:rsidR="00134024" w:rsidRPr="00CB4794" w:rsidRDefault="00134024" w:rsidP="00134024">
      <w:pPr>
        <w:pStyle w:val="Ttulo3"/>
        <w:spacing w:line="240" w:lineRule="auto"/>
        <w:rPr>
          <w:rFonts w:ascii="Times New Roman" w:hAnsi="Times New Roman"/>
          <w:b w:val="0"/>
          <w:color w:val="auto"/>
        </w:rPr>
      </w:pPr>
      <w:bookmarkStart w:id="21" w:name="_Toc310868903"/>
      <w:r w:rsidRPr="00CB4794">
        <w:rPr>
          <w:rFonts w:ascii="Times New Roman" w:hAnsi="Times New Roman"/>
          <w:b w:val="0"/>
          <w:color w:val="auto"/>
        </w:rPr>
        <w:t>CALCULO DE CONCENTRACIÓN DE RENTABILIDAD</w:t>
      </w:r>
      <w:bookmarkEnd w:id="21"/>
    </w:p>
    <w:p w:rsidR="00134024" w:rsidRPr="00CB4794" w:rsidRDefault="00134024" w:rsidP="00134024"/>
    <w:p w:rsidR="00134024" w:rsidRPr="00CB4794" w:rsidRDefault="00134024" w:rsidP="00134024">
      <w:pPr>
        <w:contextualSpacing/>
        <w:jc w:val="center"/>
        <w:rPr>
          <w:b/>
        </w:rPr>
      </w:pPr>
      <w:r w:rsidRPr="00CB4794">
        <w:rPr>
          <w:b/>
        </w:rPr>
        <w:t>CUADRO N°8</w:t>
      </w:r>
    </w:p>
    <w:p w:rsidR="00134024" w:rsidRPr="00CB4794" w:rsidRDefault="00134024" w:rsidP="00134024">
      <w:pPr>
        <w:contextualSpacing/>
        <w:jc w:val="center"/>
      </w:pPr>
    </w:p>
    <w:tbl>
      <w:tblPr>
        <w:tblStyle w:val="Sombreadoclaro1"/>
        <w:tblW w:w="8404" w:type="dxa"/>
        <w:tblLook w:val="04A0" w:firstRow="1" w:lastRow="0" w:firstColumn="1" w:lastColumn="0" w:noHBand="0" w:noVBand="1"/>
      </w:tblPr>
      <w:tblGrid>
        <w:gridCol w:w="2200"/>
        <w:gridCol w:w="1151"/>
        <w:gridCol w:w="1266"/>
        <w:gridCol w:w="840"/>
        <w:gridCol w:w="1180"/>
        <w:gridCol w:w="821"/>
        <w:gridCol w:w="1060"/>
      </w:tblGrid>
      <w:tr w:rsidR="00134024" w:rsidRPr="00CB47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10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2009</w:t>
            </w:r>
          </w:p>
        </w:tc>
        <w:tc>
          <w:tcPr>
            <w:tcW w:w="1204"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2010</w:t>
            </w:r>
          </w:p>
        </w:tc>
        <w:tc>
          <w:tcPr>
            <w:tcW w:w="84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lang w:eastAsia="es-EC"/>
              </w:rPr>
            </w:pPr>
            <w:r w:rsidRPr="00CB4794">
              <w:rPr>
                <w:rFonts w:ascii="Times New Roman" w:eastAsia="Times New Roman" w:hAnsi="Times New Roman" w:cs="Calibri"/>
                <w:b w:val="0"/>
                <w:bCs w:val="0"/>
                <w:color w:val="auto"/>
                <w:lang w:eastAsia="es-EC"/>
              </w:rPr>
              <w:t>%</w:t>
            </w:r>
          </w:p>
        </w:tc>
        <w:tc>
          <w:tcPr>
            <w:tcW w:w="118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lang w:eastAsia="es-EC"/>
              </w:rPr>
            </w:pPr>
            <w:r w:rsidRPr="00CB4794">
              <w:rPr>
                <w:rFonts w:ascii="Times New Roman" w:eastAsia="Times New Roman" w:hAnsi="Times New Roman" w:cs="Calibri"/>
                <w:b w:val="0"/>
                <w:bCs w:val="0"/>
                <w:color w:val="auto"/>
                <w:lang w:eastAsia="es-EC"/>
              </w:rPr>
              <w:t>HH1 2010</w:t>
            </w:r>
          </w:p>
        </w:tc>
        <w:tc>
          <w:tcPr>
            <w:tcW w:w="82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lang w:eastAsia="es-EC"/>
              </w:rPr>
            </w:pPr>
            <w:r w:rsidRPr="00CB4794">
              <w:rPr>
                <w:rFonts w:ascii="Times New Roman" w:eastAsia="Times New Roman" w:hAnsi="Times New Roman" w:cs="Calibri"/>
                <w:b w:val="0"/>
                <w:bCs w:val="0"/>
                <w:color w:val="auto"/>
                <w:lang w:eastAsia="es-EC"/>
              </w:rPr>
              <w:t>%</w:t>
            </w:r>
          </w:p>
        </w:tc>
        <w:tc>
          <w:tcPr>
            <w:tcW w:w="106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lang w:eastAsia="es-EC"/>
              </w:rPr>
            </w:pPr>
            <w:r w:rsidRPr="00CB4794">
              <w:rPr>
                <w:rFonts w:ascii="Times New Roman" w:eastAsia="Times New Roman" w:hAnsi="Times New Roman" w:cs="Calibri"/>
                <w:b w:val="0"/>
                <w:bCs w:val="0"/>
                <w:color w:val="auto"/>
                <w:lang w:eastAsia="es-EC"/>
              </w:rPr>
              <w:t>HH1 2009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SALUDCOOP</w:t>
            </w:r>
          </w:p>
        </w:tc>
        <w:tc>
          <w:tcPr>
            <w:tcW w:w="11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356.728,69</w:t>
            </w:r>
          </w:p>
        </w:tc>
        <w:tc>
          <w:tcPr>
            <w:tcW w:w="120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1.159.717,75</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58,01</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3365,10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-59,22</w:t>
            </w:r>
          </w:p>
        </w:tc>
        <w:tc>
          <w:tcPr>
            <w:tcW w:w="10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3507,03</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CENTRO  FETALPRONATAL</w:t>
            </w:r>
          </w:p>
        </w:tc>
        <w:tc>
          <w:tcPr>
            <w:tcW w:w="11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-6.422,02</w:t>
            </w:r>
          </w:p>
        </w:tc>
        <w:tc>
          <w:tcPr>
            <w:tcW w:w="120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612,76</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0,03</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1,07</w:t>
            </w:r>
          </w:p>
        </w:tc>
        <w:tc>
          <w:tcPr>
            <w:tcW w:w="10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1,14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 xml:space="preserve">CLINICA PANAMERICANA </w:t>
            </w:r>
          </w:p>
        </w:tc>
        <w:tc>
          <w:tcPr>
            <w:tcW w:w="1100"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-939.977,25</w:t>
            </w:r>
          </w:p>
        </w:tc>
        <w:tc>
          <w:tcPr>
            <w:tcW w:w="1204"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156,04</w:t>
            </w:r>
          </w:p>
        </w:tc>
        <w:tc>
          <w:tcPr>
            <w:tcW w:w="10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24349,92</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 xml:space="preserve">CLINICA SANTAMARIA </w:t>
            </w:r>
          </w:p>
        </w:tc>
        <w:tc>
          <w:tcPr>
            <w:tcW w:w="1100"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120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859.452,36</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42,99</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1848,15</w:t>
            </w:r>
          </w:p>
        </w:tc>
        <w:tc>
          <w:tcPr>
            <w:tcW w:w="8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0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 xml:space="preserve">CLINICA SAN LUIS </w:t>
            </w:r>
          </w:p>
        </w:tc>
        <w:tc>
          <w:tcPr>
            <w:tcW w:w="11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170,78</w:t>
            </w:r>
          </w:p>
        </w:tc>
        <w:tc>
          <w:tcPr>
            <w:tcW w:w="120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1.170,23</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0,06</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-0,03</w:t>
            </w:r>
          </w:p>
        </w:tc>
        <w:tc>
          <w:tcPr>
            <w:tcW w:w="10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CLINICA PARKER</w:t>
            </w:r>
          </w:p>
        </w:tc>
        <w:tc>
          <w:tcPr>
            <w:tcW w:w="1100"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1204"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0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INREUMI</w:t>
            </w:r>
          </w:p>
        </w:tc>
        <w:tc>
          <w:tcPr>
            <w:tcW w:w="11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7.463,11</w:t>
            </w:r>
          </w:p>
        </w:tc>
        <w:tc>
          <w:tcPr>
            <w:tcW w:w="120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-6200,12</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-0,31</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0,10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-1,24</w:t>
            </w:r>
          </w:p>
        </w:tc>
        <w:tc>
          <w:tcPr>
            <w:tcW w:w="10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1,53</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CLIMEDINOR</w:t>
            </w:r>
          </w:p>
        </w:tc>
        <w:tc>
          <w:tcPr>
            <w:tcW w:w="1100" w:type="dxa"/>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1204"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0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 xml:space="preserve">COMPARASAD </w:t>
            </w:r>
          </w:p>
        </w:tc>
        <w:tc>
          <w:tcPr>
            <w:tcW w:w="1100"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1204"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 </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c>
          <w:tcPr>
            <w:tcW w:w="10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0,00</w:t>
            </w:r>
          </w:p>
        </w:tc>
      </w:tr>
      <w:tr w:rsidR="00134024" w:rsidRPr="00CB4794">
        <w:trPr>
          <w:trHeight w:val="300"/>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b w:val="0"/>
                <w:bCs w:val="0"/>
                <w:color w:val="auto"/>
                <w:sz w:val="20"/>
                <w:szCs w:val="20"/>
                <w:lang w:eastAsia="es-EC"/>
              </w:rPr>
            </w:pPr>
            <w:r w:rsidRPr="00CB4794">
              <w:rPr>
                <w:rFonts w:ascii="Times New Roman" w:eastAsia="Times New Roman" w:hAnsi="Times New Roman" w:cs="Calibri"/>
                <w:b w:val="0"/>
                <w:bCs w:val="0"/>
                <w:color w:val="auto"/>
                <w:sz w:val="20"/>
                <w:szCs w:val="20"/>
                <w:lang w:eastAsia="es-EC"/>
              </w:rPr>
              <w:t>CERNIMED</w:t>
            </w:r>
          </w:p>
        </w:tc>
        <w:tc>
          <w:tcPr>
            <w:tcW w:w="1100" w:type="dxa"/>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-20.340,54</w:t>
            </w:r>
          </w:p>
        </w:tc>
        <w:tc>
          <w:tcPr>
            <w:tcW w:w="120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20"/>
                <w:szCs w:val="20"/>
                <w:lang w:eastAsia="es-EC"/>
              </w:rPr>
            </w:pPr>
            <w:r w:rsidRPr="00CB4794">
              <w:rPr>
                <w:rFonts w:ascii="Times New Roman" w:eastAsia="Times New Roman" w:hAnsi="Times New Roman" w:cs="Calibri"/>
                <w:color w:val="auto"/>
                <w:sz w:val="20"/>
                <w:szCs w:val="20"/>
                <w:lang w:eastAsia="es-EC"/>
              </w:rPr>
              <w:t>-15.565,85</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-0,78</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0,61</w:t>
            </w:r>
          </w:p>
        </w:tc>
        <w:tc>
          <w:tcPr>
            <w:tcW w:w="82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3,38</w:t>
            </w:r>
          </w:p>
        </w:tc>
        <w:tc>
          <w:tcPr>
            <w:tcW w:w="10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11,40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00" w:type="dxa"/>
            <w:noWrap/>
          </w:tcPr>
          <w:p w:rsidR="00134024" w:rsidRPr="00CB4794" w:rsidRDefault="00134024" w:rsidP="00CB4794">
            <w:pPr>
              <w:rPr>
                <w:rFonts w:ascii="Times New Roman" w:eastAsia="Times New Roman" w:hAnsi="Times New Roman" w:cs="Calibri"/>
                <w:color w:val="auto"/>
                <w:lang w:eastAsia="es-EC"/>
              </w:rPr>
            </w:pPr>
            <w:r w:rsidRPr="00CB4794">
              <w:rPr>
                <w:rFonts w:ascii="Times New Roman" w:eastAsia="Times New Roman" w:hAnsi="Times New Roman" w:cs="Calibri"/>
                <w:color w:val="auto"/>
                <w:lang w:eastAsia="es-EC"/>
              </w:rPr>
              <w:t> </w:t>
            </w:r>
          </w:p>
        </w:tc>
        <w:tc>
          <w:tcPr>
            <w:tcW w:w="11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602377,23</w:t>
            </w:r>
          </w:p>
        </w:tc>
        <w:tc>
          <w:tcPr>
            <w:tcW w:w="120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1999187,13</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100,00</w:t>
            </w:r>
          </w:p>
        </w:tc>
        <w:tc>
          <w:tcPr>
            <w:tcW w:w="118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 </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100,00</w:t>
            </w:r>
          </w:p>
        </w:tc>
        <w:tc>
          <w:tcPr>
            <w:tcW w:w="10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b/>
                <w:bCs/>
                <w:color w:val="auto"/>
                <w:lang w:eastAsia="es-EC"/>
              </w:rPr>
            </w:pPr>
            <w:r w:rsidRPr="00CB4794">
              <w:rPr>
                <w:rFonts w:ascii="Times New Roman" w:eastAsia="Times New Roman" w:hAnsi="Times New Roman" w:cs="Calibri"/>
                <w:b/>
                <w:bCs/>
                <w:color w:val="auto"/>
                <w:lang w:eastAsia="es-EC"/>
              </w:rPr>
              <w:t> </w:t>
            </w:r>
          </w:p>
        </w:tc>
      </w:tr>
    </w:tbl>
    <w:p w:rsidR="00134024" w:rsidRPr="00CB4794" w:rsidRDefault="00134024" w:rsidP="00134024">
      <w:pPr>
        <w:contextualSpacing/>
        <w:rPr>
          <w:b/>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ELABORACIÓN:</w:t>
      </w:r>
      <w:r w:rsidRPr="00CB4794">
        <w:rPr>
          <w:sz w:val="20"/>
          <w:szCs w:val="20"/>
        </w:rPr>
        <w:t xml:space="preserve"> Instituto de Salud Pública-PUCE</w:t>
      </w: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rPr>
          <w:sz w:val="20"/>
          <w:szCs w:val="20"/>
        </w:rPr>
      </w:pPr>
    </w:p>
    <w:p w:rsidR="00134024" w:rsidRPr="00CB4794" w:rsidRDefault="00134024" w:rsidP="00134024">
      <w:pPr>
        <w:contextualSpacing/>
        <w:jc w:val="center"/>
        <w:rPr>
          <w:b/>
        </w:rPr>
      </w:pPr>
      <w:r w:rsidRPr="00CB4794">
        <w:rPr>
          <w:b/>
        </w:rPr>
        <w:t>GRAFICO N° 15</w:t>
      </w:r>
    </w:p>
    <w:p w:rsidR="00134024" w:rsidRPr="00CB4794" w:rsidRDefault="00134024" w:rsidP="00134024">
      <w:pPr>
        <w:contextualSpacing/>
      </w:pPr>
      <w:r w:rsidRPr="00CB4794">
        <w:rPr>
          <w:noProof/>
          <w:lang w:val="es-EC" w:eastAsia="es-EC"/>
        </w:rPr>
        <w:drawing>
          <wp:inline distT="0" distB="0" distL="0" distR="0">
            <wp:extent cx="5947410" cy="3062605"/>
            <wp:effectExtent l="19050" t="0" r="15240" b="4445"/>
            <wp:docPr id="38"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16</w:t>
      </w:r>
    </w:p>
    <w:p w:rsidR="00134024" w:rsidRPr="00CB4794" w:rsidRDefault="00134024" w:rsidP="00134024">
      <w:pPr>
        <w:contextualSpacing/>
      </w:pPr>
      <w:r w:rsidRPr="00CB4794">
        <w:rPr>
          <w:noProof/>
          <w:lang w:val="es-EC" w:eastAsia="es-EC"/>
        </w:rPr>
        <w:drawing>
          <wp:inline distT="0" distB="0" distL="0" distR="0">
            <wp:extent cx="5612130" cy="3054985"/>
            <wp:effectExtent l="19050" t="0" r="26670" b="0"/>
            <wp:docPr id="40"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rPr>
      </w:pPr>
      <w:r w:rsidRPr="00CB4794">
        <w:rPr>
          <w:b/>
        </w:rPr>
        <w:t>GRAFICO N° 17</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612130" cy="3408680"/>
            <wp:effectExtent l="19050" t="0" r="26670" b="1270"/>
            <wp:docPr id="44"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jc w:val="center"/>
      </w:pPr>
      <w:r w:rsidRPr="00CB4794">
        <w:t>GRAFICO N° 15</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612130" cy="3155315"/>
            <wp:effectExtent l="19050" t="0" r="26670" b="6985"/>
            <wp:docPr id="45"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32"/>
          <w:szCs w:val="32"/>
        </w:rPr>
      </w:pPr>
    </w:p>
    <w:p w:rsidR="00134024" w:rsidRPr="00CB4794" w:rsidRDefault="00134024" w:rsidP="00134024">
      <w:pPr>
        <w:pStyle w:val="Ttulo2"/>
        <w:spacing w:line="240" w:lineRule="auto"/>
        <w:rPr>
          <w:rFonts w:ascii="Times New Roman" w:hAnsi="Times New Roman"/>
          <w:b w:val="0"/>
          <w:color w:val="auto"/>
          <w:sz w:val="36"/>
          <w:szCs w:val="32"/>
        </w:rPr>
      </w:pPr>
      <w:bookmarkStart w:id="22" w:name="_Toc310868904"/>
      <w:r w:rsidRPr="00CB4794">
        <w:rPr>
          <w:rFonts w:ascii="Times New Roman" w:hAnsi="Times New Roman"/>
          <w:b w:val="0"/>
          <w:color w:val="auto"/>
          <w:sz w:val="36"/>
          <w:szCs w:val="32"/>
        </w:rPr>
        <w:t>LABORATORIOS DE QUITO Y GUAYAQUIL</w:t>
      </w:r>
      <w:bookmarkEnd w:id="22"/>
    </w:p>
    <w:p w:rsidR="00134024" w:rsidRPr="00CB4794" w:rsidRDefault="00134024" w:rsidP="00134024">
      <w:pPr>
        <w:pStyle w:val="Ttulo3"/>
        <w:spacing w:line="240" w:lineRule="auto"/>
        <w:rPr>
          <w:rFonts w:ascii="Times New Roman" w:hAnsi="Times New Roman"/>
          <w:color w:val="auto"/>
          <w:sz w:val="32"/>
          <w:szCs w:val="32"/>
        </w:rPr>
      </w:pPr>
      <w:bookmarkStart w:id="23" w:name="_Toc310868905"/>
      <w:r w:rsidRPr="00CB4794">
        <w:rPr>
          <w:rFonts w:ascii="Times New Roman" w:hAnsi="Times New Roman"/>
          <w:color w:val="auto"/>
          <w:sz w:val="32"/>
          <w:szCs w:val="32"/>
        </w:rPr>
        <w:t>ANALISIS DE ACTIVO DE LOS LABORATORIOS QUITO</w:t>
      </w:r>
      <w:bookmarkEnd w:id="23"/>
    </w:p>
    <w:p w:rsidR="00134024" w:rsidRPr="00CB4794" w:rsidRDefault="00134024" w:rsidP="00134024">
      <w:pPr>
        <w:rPr>
          <w:b/>
        </w:rPr>
      </w:pPr>
    </w:p>
    <w:p w:rsidR="00134024" w:rsidRPr="00CB4794" w:rsidRDefault="00134024" w:rsidP="00134024">
      <w:pPr>
        <w:jc w:val="center"/>
        <w:rPr>
          <w:b/>
        </w:rPr>
      </w:pPr>
      <w:r w:rsidRPr="00CB4794">
        <w:rPr>
          <w:b/>
        </w:rPr>
        <w:t>GRÁFICO N° 18</w:t>
      </w:r>
    </w:p>
    <w:p w:rsidR="00134024" w:rsidRPr="00CB4794" w:rsidRDefault="00134024" w:rsidP="00134024">
      <w:pPr>
        <w:jc w:val="center"/>
      </w:pPr>
    </w:p>
    <w:p w:rsidR="00134024" w:rsidRPr="00CB4794" w:rsidRDefault="00B16FC0" w:rsidP="00134024">
      <w:r>
        <w:rPr>
          <w:noProof/>
          <w:lang w:val="es-EC" w:eastAsia="es-EC"/>
        </w:rPr>
        <mc:AlternateContent>
          <mc:Choice Requires="wps">
            <w:drawing>
              <wp:anchor distT="0" distB="0" distL="114300" distR="114300" simplePos="0" relativeHeight="251672576" behindDoc="0" locked="0" layoutInCell="1" allowOverlap="1">
                <wp:simplePos x="0" y="0"/>
                <wp:positionH relativeFrom="column">
                  <wp:posOffset>17145</wp:posOffset>
                </wp:positionH>
                <wp:positionV relativeFrom="paragraph">
                  <wp:posOffset>133985</wp:posOffset>
                </wp:positionV>
                <wp:extent cx="5958840" cy="15240"/>
                <wp:effectExtent l="7620" t="10160" r="5715" b="12700"/>
                <wp:wrapNone/>
                <wp:docPr id="9"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58840" cy="1524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959BE29" id="_x0000_t32" coordsize="21600,21600" o:spt="32" o:oned="t" path="m,l21600,21600e" filled="f">
                <v:path arrowok="t" fillok="f" o:connecttype="none"/>
                <o:lock v:ext="edit" shapetype="t"/>
              </v:shapetype>
              <v:shape id="AutoShape 6" o:spid="_x0000_s1026" type="#_x0000_t32" style="position:absolute;margin-left:1.35pt;margin-top:10.55pt;width:469.2pt;height:1.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"/>
            </w:pict>
          </mc:Fallback>
        </mc:AlternateContent>
      </w:r>
      <w:r w:rsidR="00134024" w:rsidRPr="00CB4794">
        <w:rPr>
          <w:noProof/>
          <w:lang w:val="es-EC" w:eastAsia="es-EC"/>
        </w:rPr>
        <w:drawing>
          <wp:inline distT="0" distB="0" distL="0" distR="0">
            <wp:extent cx="5953125" cy="5153025"/>
            <wp:effectExtent l="19050" t="0" r="9525" b="0"/>
            <wp:docPr id="48"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r w:rsidRPr="00CB4794">
        <w:t>El mayor porcentaje de activos en el año 2009 tiene PFIZER con un 30% del total de los 20 laboratorios de Quito de los datos obtenidos</w:t>
      </w:r>
    </w:p>
    <w:p w:rsidR="00134024" w:rsidRPr="00CB4794" w:rsidRDefault="00134024" w:rsidP="00134024">
      <w:pPr>
        <w:jc w:val="center"/>
      </w:pPr>
      <w:r w:rsidRPr="00CB4794">
        <w:t>GRÁFICO N°17</w:t>
      </w:r>
    </w:p>
    <w:p w:rsidR="00134024" w:rsidRPr="00CB4794" w:rsidRDefault="00134024" w:rsidP="00134024">
      <w:r w:rsidRPr="00CB4794">
        <w:rPr>
          <w:noProof/>
          <w:lang w:val="es-EC" w:eastAsia="es-EC"/>
        </w:rPr>
        <w:drawing>
          <wp:inline distT="0" distB="0" distL="0" distR="0">
            <wp:extent cx="5701302" cy="4512623"/>
            <wp:effectExtent l="19050" t="0" r="13698" b="2227"/>
            <wp:docPr id="49"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rPr>
          <w:rFonts w:cstheme="majorHAnsi"/>
        </w:rPr>
      </w:pPr>
    </w:p>
    <w:p w:rsidR="00134024" w:rsidRPr="00CB4794" w:rsidRDefault="00134024" w:rsidP="00134024">
      <w:pPr>
        <w:rPr>
          <w:rFonts w:cstheme="majorHAnsi"/>
        </w:rPr>
      </w:pPr>
      <w:r w:rsidRPr="00CB4794">
        <w:rPr>
          <w:rFonts w:cstheme="majorHAnsi"/>
        </w:rPr>
        <w:t xml:space="preserve">En los 21 laboratorios de la ciudad de Quito la concentración esta en PFIZER, AVENTIS PHARMA, SIEGFRIED, Y ABBOT. </w:t>
      </w:r>
    </w:p>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Pr>
        <w:jc w:val="center"/>
      </w:pPr>
      <w:r w:rsidRPr="00CB4794">
        <w:t>GRÁFICO N°18</w:t>
      </w:r>
    </w:p>
    <w:p w:rsidR="00134024" w:rsidRPr="00CB4794" w:rsidRDefault="00134024" w:rsidP="00134024">
      <w:pPr>
        <w:jc w:val="center"/>
      </w:pPr>
    </w:p>
    <w:p w:rsidR="00134024" w:rsidRPr="00CB4794" w:rsidRDefault="00134024" w:rsidP="00134024">
      <w:r w:rsidRPr="00CB4794">
        <w:rPr>
          <w:noProof/>
          <w:lang w:val="es-EC" w:eastAsia="es-EC"/>
        </w:rPr>
        <w:drawing>
          <wp:inline distT="0" distB="0" distL="0" distR="0">
            <wp:extent cx="5300869" cy="3658151"/>
            <wp:effectExtent l="19050" t="0" r="14081" b="0"/>
            <wp:docPr id="5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134024" w:rsidRPr="00CB4794" w:rsidRDefault="00134024" w:rsidP="00134024">
      <w:pPr>
        <w:contextualSpacing/>
      </w:pPr>
      <w:r w:rsidRPr="00CB4794">
        <w:t>FUENTE: Superintendencia de Compañías</w:t>
      </w:r>
    </w:p>
    <w:p w:rsidR="00134024" w:rsidRPr="00CB4794" w:rsidRDefault="00134024" w:rsidP="00134024">
      <w:pPr>
        <w:contextualSpacing/>
      </w:pPr>
      <w:r w:rsidRPr="00CB4794">
        <w:t>ELABORACIÓN: Instituto de Salud Pública</w:t>
      </w:r>
    </w:p>
    <w:p w:rsidR="00134024" w:rsidRPr="00CB4794" w:rsidRDefault="00134024" w:rsidP="00134024"/>
    <w:p w:rsidR="00134024" w:rsidRPr="00CB4794" w:rsidRDefault="00134024" w:rsidP="00134024">
      <w:pPr>
        <w:jc w:val="both"/>
        <w:rPr>
          <w:rFonts w:cstheme="majorHAnsi"/>
        </w:rPr>
      </w:pPr>
      <w:r w:rsidRPr="00CB4794">
        <w:rPr>
          <w:rFonts w:cstheme="majorHAnsi"/>
        </w:rPr>
        <w:t>Como podemos observar en este grafico la concentración del activo de los cuatro laboratorios  ABBOT, PFIZER, AVENTIS PHARMA Y SIEGFRIED representan  el 72% de los 21 laboratorios más importantes de Quito. Mientras que los 17 laboratorios restantes representa un 28% de los laboratorios más importantes.</w:t>
      </w:r>
    </w:p>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 w:rsidR="00134024" w:rsidRPr="00CB4794" w:rsidRDefault="00134024" w:rsidP="00134024">
      <w:pPr>
        <w:jc w:val="center"/>
        <w:rPr>
          <w:b/>
        </w:rPr>
      </w:pPr>
      <w:r w:rsidRPr="00CB4794">
        <w:rPr>
          <w:b/>
        </w:rPr>
        <w:t>GRÁFICO N°19</w:t>
      </w:r>
    </w:p>
    <w:p w:rsidR="00134024" w:rsidRPr="00CB4794" w:rsidRDefault="00134024" w:rsidP="00134024">
      <w:pPr>
        <w:contextualSpacing/>
        <w:jc w:val="center"/>
      </w:pPr>
      <w:r w:rsidRPr="00CB4794">
        <w:rPr>
          <w:noProof/>
          <w:lang w:val="es-EC" w:eastAsia="es-EC"/>
        </w:rPr>
        <w:drawing>
          <wp:inline distT="0" distB="0" distL="0" distR="0">
            <wp:extent cx="6435090" cy="4465320"/>
            <wp:effectExtent l="19050" t="0" r="22860" b="0"/>
            <wp:docPr id="53"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134024" w:rsidRPr="00CB4794" w:rsidRDefault="00134024" w:rsidP="00134024">
      <w:pPr>
        <w:contextualSpacing/>
        <w:rPr>
          <w:b/>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r w:rsidRPr="00CB4794">
        <w:t>La concentración está en LABORATORIOS  PFIZER con 3045,52 dólares, es decir tiene un monopolio total del mercado, esta concentración abarca algunas empresas que se encuentran dentro de este grupo. Los accionistas están ligados con otros grupos de empresas como La Favorita.</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rPr>
          <w:b/>
        </w:rPr>
      </w:pPr>
    </w:p>
    <w:p w:rsidR="00134024" w:rsidRPr="00CB4794" w:rsidRDefault="00134024" w:rsidP="00134024">
      <w:pPr>
        <w:jc w:val="center"/>
        <w:rPr>
          <w:b/>
        </w:rPr>
      </w:pPr>
      <w:r w:rsidRPr="00CB4794">
        <w:rPr>
          <w:b/>
        </w:rPr>
        <w:t>GRÁFICO N°20</w:t>
      </w:r>
    </w:p>
    <w:p w:rsidR="00134024" w:rsidRPr="00CB4794" w:rsidRDefault="00134024" w:rsidP="00134024">
      <w:r w:rsidRPr="00CB4794">
        <w:rPr>
          <w:noProof/>
          <w:lang w:val="es-EC" w:eastAsia="es-EC"/>
        </w:rPr>
        <w:drawing>
          <wp:inline distT="0" distB="0" distL="0" distR="0">
            <wp:extent cx="5543550" cy="3057525"/>
            <wp:effectExtent l="19050" t="0" r="19050" b="0"/>
            <wp:docPr id="54"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jc w:val="both"/>
        <w:rPr>
          <w:rFonts w:cstheme="majorHAnsi"/>
        </w:rPr>
      </w:pPr>
    </w:p>
    <w:p w:rsidR="00134024" w:rsidRPr="00CB4794" w:rsidRDefault="00134024" w:rsidP="00134024">
      <w:pPr>
        <w:contextualSpacing/>
        <w:jc w:val="both"/>
      </w:pPr>
      <w:r w:rsidRPr="00CB4794">
        <w:rPr>
          <w:rFonts w:cstheme="majorHAnsi"/>
        </w:rPr>
        <w:t>Por otro lado en el 2010  la concentración del activo  esta en 5  laboratorios  ABBOT, PFIZER, AVENTIS PHARMA, SIEGFRIED, INDUPHARMA representan  el 84 % de los 21 laboratorios más importantes de Quito. Mientras que los 16 laboratorios restantes representa un 16% de los laboratorios más importantes en Quito.</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jc w:val="center"/>
        <w:rPr>
          <w:b/>
        </w:rPr>
      </w:pPr>
      <w:r w:rsidRPr="00CB4794">
        <w:rPr>
          <w:b/>
        </w:rPr>
        <w:t>GRÁFICO N°21</w:t>
      </w:r>
    </w:p>
    <w:p w:rsidR="00134024" w:rsidRPr="00CB4794" w:rsidRDefault="00134024" w:rsidP="00134024">
      <w:pPr>
        <w:contextualSpacing/>
      </w:pPr>
      <w:r w:rsidRPr="00CB4794">
        <w:rPr>
          <w:noProof/>
          <w:lang w:val="es-EC" w:eastAsia="es-EC"/>
        </w:rPr>
        <w:drawing>
          <wp:inline distT="0" distB="0" distL="0" distR="0">
            <wp:extent cx="5684520" cy="4053840"/>
            <wp:effectExtent l="0" t="0" r="0" b="3810"/>
            <wp:docPr id="55"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r w:rsidRPr="00CB4794">
        <w:rPr>
          <w:sz w:val="18"/>
          <w:szCs w:val="18"/>
        </w:rPr>
        <w:t>En Guayaquil por otro lado la concentración esta en laboratorios tofi  pero en este caso no existe monopolio en los laboratorios estudiados, Laboratorios Tofi tienen más mercado que los otros laboratorios pero este rubro no llega a tener un monopolio</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jc w:val="center"/>
        <w:rPr>
          <w:b/>
        </w:rPr>
      </w:pPr>
      <w:r w:rsidRPr="00CB4794">
        <w:rPr>
          <w:b/>
        </w:rPr>
        <w:t>GRÁFICO N°22</w:t>
      </w:r>
    </w:p>
    <w:p w:rsidR="00134024" w:rsidRPr="00CB4794" w:rsidRDefault="00134024" w:rsidP="00134024">
      <w:pPr>
        <w:contextualSpacing/>
        <w:jc w:val="center"/>
      </w:pPr>
      <w:r w:rsidRPr="00CB4794">
        <w:rPr>
          <w:noProof/>
          <w:lang w:val="es-EC" w:eastAsia="es-EC"/>
        </w:rPr>
        <w:drawing>
          <wp:inline distT="0" distB="0" distL="0" distR="0">
            <wp:extent cx="5006340" cy="4206240"/>
            <wp:effectExtent l="0" t="0" r="0" b="0"/>
            <wp:docPr id="5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34024" w:rsidRPr="00CB4794" w:rsidRDefault="00134024" w:rsidP="00134024">
      <w:pPr>
        <w:contextualSpacing/>
        <w:jc w:val="cente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r w:rsidRPr="00CB4794">
        <w:rPr>
          <w:sz w:val="18"/>
          <w:szCs w:val="18"/>
        </w:rPr>
        <w:t>Observamos que en Guayaquil los laboratorios que concentran el activo son TOFIS, ACROMAX, CHEFAR y LIFE, estos cuatro  laboratorios representan el 86% de los 14 principales laboratorios  de Guayaquil.</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rPr>
          <w:b/>
        </w:rPr>
      </w:pPr>
    </w:p>
    <w:p w:rsidR="00134024" w:rsidRPr="00CB4794" w:rsidRDefault="00134024" w:rsidP="00134024">
      <w:pPr>
        <w:rPr>
          <w:b/>
        </w:rPr>
      </w:pPr>
    </w:p>
    <w:p w:rsidR="00134024" w:rsidRPr="00CB4794" w:rsidRDefault="00134024" w:rsidP="00134024">
      <w:pPr>
        <w:jc w:val="center"/>
        <w:rPr>
          <w:b/>
        </w:rPr>
      </w:pPr>
      <w:r w:rsidRPr="00CB4794">
        <w:rPr>
          <w:b/>
        </w:rPr>
        <w:t xml:space="preserve"> GRÁFICO N°23</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612130" cy="3524885"/>
            <wp:effectExtent l="19050" t="0" r="26670" b="0"/>
            <wp:docPr id="57"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p>
    <w:p w:rsidR="00134024" w:rsidRPr="00CB4794" w:rsidRDefault="00134024" w:rsidP="00134024">
      <w:pPr>
        <w:jc w:val="center"/>
        <w:rPr>
          <w:b/>
        </w:rPr>
      </w:pPr>
      <w:r w:rsidRPr="00CB4794">
        <w:rPr>
          <w:b/>
        </w:rPr>
        <w:t>GRÁFICO N°24</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5612130" cy="3435985"/>
            <wp:effectExtent l="19050" t="0" r="26670" b="0"/>
            <wp:docPr id="58"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pPr>
      <w:r w:rsidRPr="00CB4794">
        <w:t>Los cuatro laboratorios antes mencionados representan el 93% del activo de los 14 laboratorios estudiados de la ciudad de Guayaquil. El 13% representa a los 10laboratorios restantes.</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pStyle w:val="Ttulo2"/>
        <w:spacing w:line="240" w:lineRule="auto"/>
        <w:rPr>
          <w:rFonts w:ascii="Times New Roman" w:hAnsi="Times New Roman"/>
          <w:b w:val="0"/>
          <w:color w:val="auto"/>
          <w:sz w:val="28"/>
        </w:rPr>
      </w:pPr>
      <w:bookmarkStart w:id="24" w:name="_Toc310868906"/>
      <w:r w:rsidRPr="00CB4794">
        <w:rPr>
          <w:rFonts w:ascii="Times New Roman" w:hAnsi="Times New Roman"/>
          <w:b w:val="0"/>
          <w:color w:val="auto"/>
          <w:sz w:val="28"/>
        </w:rPr>
        <w:t>ANALISIS DE RENTABILIDAD DE LOS LABORATORIOS DE QUITO</w:t>
      </w:r>
      <w:bookmarkEnd w:id="24"/>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r w:rsidRPr="00CB4794">
        <w:rPr>
          <w:b/>
          <w:sz w:val="28"/>
          <w:szCs w:val="28"/>
        </w:rPr>
        <w:t>CUADRO N°9</w:t>
      </w:r>
    </w:p>
    <w:tbl>
      <w:tblPr>
        <w:tblStyle w:val="Sombreadoclaro-nfasis11"/>
        <w:tblW w:w="8668" w:type="dxa"/>
        <w:tblLook w:val="04A0" w:firstRow="1" w:lastRow="0" w:firstColumn="1" w:lastColumn="0" w:noHBand="0" w:noVBand="1"/>
      </w:tblPr>
      <w:tblGrid>
        <w:gridCol w:w="3020"/>
        <w:gridCol w:w="1324"/>
        <w:gridCol w:w="1221"/>
        <w:gridCol w:w="662"/>
        <w:gridCol w:w="910"/>
        <w:gridCol w:w="662"/>
        <w:gridCol w:w="869"/>
      </w:tblGrid>
      <w:tr w:rsidR="00134024" w:rsidRPr="00CB4794">
        <w:trPr>
          <w:cnfStyle w:val="100000000000" w:firstRow="1" w:lastRow="0" w:firstColumn="0" w:lastColumn="0" w:oddVBand="0" w:evenVBand="0" w:oddHBand="0"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1324"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2009</w:t>
            </w:r>
          </w:p>
        </w:tc>
        <w:tc>
          <w:tcPr>
            <w:tcW w:w="1221"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2010</w:t>
            </w:r>
          </w:p>
        </w:tc>
        <w:tc>
          <w:tcPr>
            <w:tcW w:w="662"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w:t>
            </w:r>
          </w:p>
        </w:tc>
        <w:tc>
          <w:tcPr>
            <w:tcW w:w="91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HH1 2009</w:t>
            </w:r>
          </w:p>
        </w:tc>
        <w:tc>
          <w:tcPr>
            <w:tcW w:w="662"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w:t>
            </w:r>
          </w:p>
        </w:tc>
        <w:tc>
          <w:tcPr>
            <w:tcW w:w="869"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OBSIDIAN </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127.137,89</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94.148,80</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0,90</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0,81</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0,46</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0,21</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INTEGRAMED </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44.204,44</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-59.359,27</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0,31</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0,10</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-0,29</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0,09</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 LAQUIN .</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31.315,82</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12.922,10</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0,22</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0,05</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0,06</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AVENTIS  PHARMA.</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-3.251.971,79</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-6.506.542,79</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-23,01</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529,61</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-32,00</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1023,76</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GENETIKAFARMA.</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15.049,05</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40.458,10</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0,11</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0,01</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0,20</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0,04</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NIPRO MEDICAL CORPORATION</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431.552,54</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962.636,15</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3,05</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9,33</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4,73</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22,41</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MEAD JHONSON NUTRITION .</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531.552,54</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862.636,15</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3,76</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14,15</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4,24</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18,00</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LABORATORIOS SIEGFRIED</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299.818,80</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4.061.412,56</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2,12</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4,50</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19,97</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398,89</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INDUPHARMA ECUATORIANA</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-9.058,20</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3.061.412,56</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-0,06</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15,05</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226,64</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JAMES BROWN PHARMA</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279.334,97</w:t>
            </w:r>
          </w:p>
        </w:tc>
        <w:tc>
          <w:tcPr>
            <w:tcW w:w="1221"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1,98</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3,91</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LAB-NYSE CIA LTDA.0</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17.715,52</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22.529,22</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0,13</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0,02</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0,11</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0,01</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LIRA LABORATORIOS</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16.800,29</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19.724,60</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0,12</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0,01</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0,10</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0,01</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LABORATORIO  LAMOSAN </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414.988,72</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524979,21</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2,94</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8,62</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2,58</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6,66</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PFIZER </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11.392.376,24</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14081366,95</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80,62</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6499,68</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69,25</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4794,98</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LABORATORIOS BIOPAS</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16.214,76</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-441950,4</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0,11</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0,01</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-2,17</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4,72</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INTERMEDICA</w:t>
            </w:r>
          </w:p>
        </w:tc>
        <w:tc>
          <w:tcPr>
            <w:tcW w:w="1324"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11.748,17</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121521,71</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0,08</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0,01</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0,60</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0,36</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LABORATORIOS BIOGENET</w:t>
            </w:r>
          </w:p>
        </w:tc>
        <w:tc>
          <w:tcPr>
            <w:tcW w:w="1324"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576.591,09</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567.360,74</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4,08</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16,65</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2,79</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7,78</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EUROLAB</w:t>
            </w:r>
          </w:p>
        </w:tc>
        <w:tc>
          <w:tcPr>
            <w:tcW w:w="1324" w:type="dxa"/>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576.591,09</w:t>
            </w:r>
          </w:p>
        </w:tc>
        <w:tc>
          <w:tcPr>
            <w:tcW w:w="122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567.360,74</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4,08</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16,65</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2,79</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7,78</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INDUSTRIA FERROMEDICA </w:t>
            </w:r>
          </w:p>
        </w:tc>
        <w:tc>
          <w:tcPr>
            <w:tcW w:w="1324"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1221"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LABORATORIOS LAFRANCOL</w:t>
            </w:r>
          </w:p>
        </w:tc>
        <w:tc>
          <w:tcPr>
            <w:tcW w:w="1324"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1221" w:type="dxa"/>
            <w:noWrap/>
          </w:tcPr>
          <w:p w:rsidR="00134024" w:rsidRPr="00CB4794" w:rsidRDefault="00134024" w:rsidP="00CB4794">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ABBOTT  LABORATORIOS</w:t>
            </w:r>
          </w:p>
        </w:tc>
        <w:tc>
          <w:tcPr>
            <w:tcW w:w="1324"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2.271.711,99</w:t>
            </w:r>
          </w:p>
        </w:tc>
        <w:tc>
          <w:tcPr>
            <w:tcW w:w="1221"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2.005.544,89</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16,08</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258,45</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9,86</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97,27</w:t>
            </w:r>
          </w:p>
        </w:tc>
      </w:tr>
      <w:tr w:rsidR="00134024" w:rsidRPr="00CB4794">
        <w:trPr>
          <w:trHeight w:val="299"/>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 xml:space="preserve">QUIMICA ARISTON ECUADOR  </w:t>
            </w:r>
          </w:p>
        </w:tc>
        <w:tc>
          <w:tcPr>
            <w:tcW w:w="1324" w:type="dxa"/>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337.179,26</w:t>
            </w:r>
          </w:p>
        </w:tc>
        <w:tc>
          <w:tcPr>
            <w:tcW w:w="1221" w:type="dxa"/>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337.179,26</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2,39</w:t>
            </w:r>
          </w:p>
        </w:tc>
        <w:tc>
          <w:tcPr>
            <w:tcW w:w="91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5,69</w:t>
            </w:r>
          </w:p>
        </w:tc>
        <w:tc>
          <w:tcPr>
            <w:tcW w:w="662"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1,66</w:t>
            </w:r>
          </w:p>
        </w:tc>
        <w:tc>
          <w:tcPr>
            <w:tcW w:w="869"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2,75</w:t>
            </w:r>
          </w:p>
        </w:tc>
      </w:tr>
      <w:tr w:rsidR="00134024" w:rsidRPr="00CB479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3020" w:type="dxa"/>
            <w:noWrap/>
          </w:tcPr>
          <w:p w:rsidR="00134024" w:rsidRPr="00CB4794" w:rsidRDefault="00134024" w:rsidP="00CB4794">
            <w:pPr>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1324"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14.130.853,19</w:t>
            </w:r>
          </w:p>
        </w:tc>
        <w:tc>
          <w:tcPr>
            <w:tcW w:w="122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20.335.341,28</w:t>
            </w:r>
          </w:p>
        </w:tc>
        <w:tc>
          <w:tcPr>
            <w:tcW w:w="662"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100,00</w:t>
            </w:r>
          </w:p>
        </w:tc>
        <w:tc>
          <w:tcPr>
            <w:tcW w:w="91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10000</w:t>
            </w:r>
          </w:p>
        </w:tc>
        <w:tc>
          <w:tcPr>
            <w:tcW w:w="662"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100,00</w:t>
            </w:r>
          </w:p>
        </w:tc>
        <w:tc>
          <w:tcPr>
            <w:tcW w:w="869"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6612,37</w:t>
            </w:r>
          </w:p>
        </w:tc>
      </w:tr>
    </w:tbl>
    <w:p w:rsidR="00134024" w:rsidRPr="00CB4794" w:rsidRDefault="00134024" w:rsidP="00134024">
      <w:pPr>
        <w:contextualSpacing/>
        <w:rPr>
          <w:b/>
          <w:sz w:val="20"/>
          <w:szCs w:val="20"/>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jc w:val="center"/>
        <w:rPr>
          <w:b/>
          <w:sz w:val="28"/>
          <w:szCs w:val="28"/>
        </w:rPr>
      </w:pPr>
    </w:p>
    <w:p w:rsidR="00134024" w:rsidRPr="00CB4794" w:rsidRDefault="00134024" w:rsidP="00134024">
      <w:pPr>
        <w:contextualSpacing/>
        <w:rPr>
          <w:b/>
          <w:sz w:val="28"/>
          <w:szCs w:val="28"/>
        </w:rPr>
      </w:pPr>
    </w:p>
    <w:p w:rsidR="00134024" w:rsidRPr="00CB4794" w:rsidRDefault="00134024" w:rsidP="00134024">
      <w:pPr>
        <w:jc w:val="center"/>
        <w:rPr>
          <w:b/>
        </w:rPr>
      </w:pPr>
      <w:r w:rsidRPr="00CB4794">
        <w:rPr>
          <w:b/>
        </w:rPr>
        <w:t>GRÁFICO N°25</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6305550" cy="5791200"/>
            <wp:effectExtent l="19050" t="0" r="19050" b="0"/>
            <wp:docPr id="59"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134024" w:rsidRPr="00CB4794" w:rsidRDefault="00134024" w:rsidP="00134024">
      <w:pPr>
        <w:contextualSpacing/>
        <w:rPr>
          <w:sz w:val="18"/>
          <w:szCs w:val="18"/>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jc w:val="center"/>
        <w:rPr>
          <w:b/>
        </w:rPr>
      </w:pPr>
      <w:r w:rsidRPr="00CB4794">
        <w:rPr>
          <w:b/>
        </w:rPr>
        <w:t>GRÁFICO N°26</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r w:rsidRPr="00CB4794">
        <w:rPr>
          <w:noProof/>
          <w:sz w:val="18"/>
          <w:szCs w:val="18"/>
          <w:lang w:val="es-EC" w:eastAsia="es-EC"/>
        </w:rPr>
        <w:drawing>
          <wp:inline distT="0" distB="0" distL="0" distR="0">
            <wp:extent cx="6019800" cy="4591050"/>
            <wp:effectExtent l="19050" t="0" r="19050" b="0"/>
            <wp:docPr id="61"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134024" w:rsidRPr="00CB4794" w:rsidRDefault="00134024" w:rsidP="00134024">
      <w:pPr>
        <w:contextualSpacing/>
      </w:pPr>
    </w:p>
    <w:p w:rsidR="00134024" w:rsidRPr="00CB4794" w:rsidRDefault="00134024" w:rsidP="00134024">
      <w:pPr>
        <w:contextualSpacing/>
        <w:rPr>
          <w:sz w:val="18"/>
          <w:szCs w:val="18"/>
        </w:rPr>
      </w:pPr>
      <w:r w:rsidRPr="00CB4794">
        <w:rPr>
          <w:sz w:val="18"/>
          <w:szCs w:val="18"/>
        </w:rPr>
        <w:t>FUENTE: Superintendencia de Compañías</w:t>
      </w:r>
    </w:p>
    <w:p w:rsidR="00134024" w:rsidRPr="00CB4794" w:rsidRDefault="00134024" w:rsidP="00134024">
      <w:pPr>
        <w:contextualSpacing/>
        <w:rPr>
          <w:sz w:val="18"/>
          <w:szCs w:val="18"/>
        </w:rPr>
      </w:pPr>
      <w:r w:rsidRPr="00CB4794">
        <w:rPr>
          <w:sz w:val="18"/>
          <w:szCs w:val="18"/>
        </w:rPr>
        <w:t>ELABORACIÓN: Instituto de Salud Pública</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r w:rsidRPr="00CB4794">
        <w:t>La mayor parte de rentabilidad la tiene el Laboratorio PFIZER, Aventis Pharma, pero este último en una mínima parte, es  decir el monopolio está en PFIZER.</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rPr>
          <w:b/>
        </w:rPr>
      </w:pPr>
      <w:r w:rsidRPr="00CB4794">
        <w:rPr>
          <w:b/>
        </w:rPr>
        <w:t>GRAFICO N°27</w:t>
      </w:r>
    </w:p>
    <w:p w:rsidR="00134024" w:rsidRPr="00CB4794" w:rsidRDefault="00134024" w:rsidP="00134024">
      <w:pPr>
        <w:contextualSpacing/>
        <w:jc w:val="center"/>
        <w:rPr>
          <w:b/>
        </w:rPr>
      </w:pPr>
    </w:p>
    <w:p w:rsidR="00134024" w:rsidRPr="00CB4794" w:rsidRDefault="00134024" w:rsidP="00134024">
      <w:pPr>
        <w:contextualSpacing/>
        <w:jc w:val="center"/>
      </w:pPr>
      <w:r w:rsidRPr="00CB4794">
        <w:rPr>
          <w:noProof/>
          <w:lang w:val="es-EC" w:eastAsia="es-EC"/>
        </w:rPr>
        <w:drawing>
          <wp:inline distT="0" distB="0" distL="0" distR="0">
            <wp:extent cx="5273261" cy="3920435"/>
            <wp:effectExtent l="19050" t="0" r="22639" b="3865"/>
            <wp:docPr id="62" name="Gráfico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134024" w:rsidRPr="00CB4794" w:rsidRDefault="00134024" w:rsidP="00134024">
      <w:pPr>
        <w:contextualSpacing/>
        <w:jc w:val="cente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pPr>
      <w:r w:rsidRPr="00CB4794">
        <w:t>Con el análisis anterior podemos observar que solo Pfizer y en mínima  cantidad Aventis Pharma ocupan el 78% de rentabilidad de los 22 principales laboratorios de Quito mientras que el 22% representa a los 20 restantes.</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pStyle w:val="Ttulo3"/>
        <w:spacing w:line="240" w:lineRule="auto"/>
        <w:rPr>
          <w:rFonts w:ascii="Times New Roman" w:hAnsi="Times New Roman"/>
          <w:b w:val="0"/>
          <w:color w:val="auto"/>
        </w:rPr>
      </w:pPr>
      <w:bookmarkStart w:id="25" w:name="_Toc310868907"/>
      <w:r w:rsidRPr="00CB4794">
        <w:rPr>
          <w:rFonts w:ascii="Times New Roman" w:hAnsi="Times New Roman"/>
          <w:b w:val="0"/>
          <w:color w:val="auto"/>
        </w:rPr>
        <w:t>PORCENTAJE DE RENTABILIDAD 2009</w:t>
      </w:r>
      <w:bookmarkEnd w:id="25"/>
    </w:p>
    <w:p w:rsidR="00134024" w:rsidRPr="00CB4794" w:rsidRDefault="00134024" w:rsidP="00134024">
      <w:pPr>
        <w:contextualSpacing/>
        <w:jc w:val="center"/>
        <w:rPr>
          <w:b/>
        </w:rPr>
      </w:pPr>
      <w:r w:rsidRPr="00CB4794">
        <w:rPr>
          <w:b/>
        </w:rPr>
        <w:t>GRAFICO N°28</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pPr>
      <w:r w:rsidRPr="00CB4794">
        <w:rPr>
          <w:noProof/>
          <w:lang w:val="es-EC" w:eastAsia="es-EC"/>
        </w:rPr>
        <w:drawing>
          <wp:inline distT="0" distB="0" distL="0" distR="0">
            <wp:extent cx="5737860" cy="4602480"/>
            <wp:effectExtent l="0" t="0" r="0" b="7620"/>
            <wp:docPr id="64" name="Gráfico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pPr>
      <w:r w:rsidRPr="00CB4794">
        <w:t xml:space="preserve">La rentabilidad con un alto porcentaje lo ocupa el laboratorio PFIZER, SIEGFRIED, INDUPHARMA, ABBOT. </w:t>
      </w: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pPr>
    </w:p>
    <w:p w:rsidR="00134024" w:rsidRPr="00CB4794" w:rsidRDefault="00134024" w:rsidP="00134024">
      <w:pPr>
        <w:contextualSpacing/>
        <w:jc w:val="center"/>
        <w:rPr>
          <w:b/>
        </w:rPr>
      </w:pPr>
      <w:r w:rsidRPr="00CB4794">
        <w:rPr>
          <w:b/>
        </w:rPr>
        <w:t>GRAFICO  N° 29</w:t>
      </w:r>
    </w:p>
    <w:p w:rsidR="00134024" w:rsidRPr="00CB4794" w:rsidRDefault="00134024" w:rsidP="00134024">
      <w:pPr>
        <w:contextualSpacing/>
      </w:pPr>
    </w:p>
    <w:p w:rsidR="00134024" w:rsidRPr="00CB4794" w:rsidRDefault="00134024" w:rsidP="00134024">
      <w:pPr>
        <w:contextualSpacing/>
      </w:pPr>
      <w:r w:rsidRPr="00CB4794">
        <w:rPr>
          <w:noProof/>
          <w:lang w:val="es-EC" w:eastAsia="es-EC"/>
        </w:rPr>
        <w:drawing>
          <wp:inline distT="0" distB="0" distL="0" distR="0">
            <wp:extent cx="6057900" cy="5120640"/>
            <wp:effectExtent l="19050" t="0" r="19050" b="3810"/>
            <wp:docPr id="65" name="Gráfico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34024" w:rsidRPr="00CB4794" w:rsidRDefault="00134024" w:rsidP="00134024">
      <w:pPr>
        <w:contextualSpacing/>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r w:rsidRPr="00CB4794">
        <w:t>La concentración se encuentra en PFIZER con un monopolio total, ya que es mayo que 1800 que es el valor con el que se mide el monopolio. Las otras tres (AVENTIS PHARMA, SIEGFRIED, INDUPHARMA a pesar que tienen una rentabilidad mucho menor que PFIZER también entre las tres hacen un monopolio de los 22 laboratorios más importantes de Quito.</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center"/>
        <w:rPr>
          <w:b/>
        </w:rPr>
      </w:pPr>
      <w:r w:rsidRPr="00CB4794">
        <w:rPr>
          <w:b/>
        </w:rPr>
        <w:t>GRAFICO  N° 30</w:t>
      </w:r>
    </w:p>
    <w:p w:rsidR="00134024" w:rsidRPr="00CB4794" w:rsidRDefault="00134024" w:rsidP="00134024">
      <w:pPr>
        <w:contextualSpacing/>
        <w:jc w:val="both"/>
      </w:pPr>
    </w:p>
    <w:p w:rsidR="00134024" w:rsidRPr="00CB4794" w:rsidRDefault="00134024" w:rsidP="00134024">
      <w:pPr>
        <w:contextualSpacing/>
        <w:jc w:val="both"/>
      </w:pPr>
      <w:r w:rsidRPr="00CB4794">
        <w:rPr>
          <w:noProof/>
          <w:lang w:val="es-EC" w:eastAsia="es-EC"/>
        </w:rPr>
        <w:drawing>
          <wp:inline distT="0" distB="0" distL="0" distR="0">
            <wp:extent cx="5394325" cy="4404360"/>
            <wp:effectExtent l="0" t="0" r="0" b="0"/>
            <wp:docPr id="66"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134024" w:rsidRPr="00CB4794" w:rsidRDefault="00134024" w:rsidP="00134024">
      <w:pPr>
        <w:contextualSpacing/>
        <w:jc w:val="both"/>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r w:rsidRPr="00CB4794">
        <w:t>Al analizar los 22 laboratorios se observa que entre estos cuatro laboratorios PFIZER; ABBOT; INDUPHARMA Y AVENTIS PHARMA tienen el 89% de rentabilidad mientras que los 18 restantes tienen un 11 % de rentabilidad.</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pStyle w:val="Ttulo2"/>
        <w:spacing w:line="240" w:lineRule="auto"/>
        <w:rPr>
          <w:rFonts w:ascii="Times New Roman" w:hAnsi="Times New Roman"/>
          <w:color w:val="auto"/>
          <w:sz w:val="28"/>
        </w:rPr>
      </w:pPr>
      <w:bookmarkStart w:id="26" w:name="_Toc310868908"/>
      <w:r w:rsidRPr="00CB4794">
        <w:rPr>
          <w:rFonts w:ascii="Times New Roman" w:hAnsi="Times New Roman"/>
          <w:color w:val="auto"/>
          <w:sz w:val="28"/>
        </w:rPr>
        <w:t>ANALISIS DE RENTABILIDAD LABORATORIOS GUAYAQUIL</w:t>
      </w:r>
      <w:bookmarkEnd w:id="26"/>
    </w:p>
    <w:p w:rsidR="00134024" w:rsidRPr="00CB4794" w:rsidRDefault="00134024" w:rsidP="00134024">
      <w:pPr>
        <w:contextualSpacing/>
        <w:jc w:val="center"/>
        <w:rPr>
          <w:sz w:val="28"/>
        </w:rPr>
      </w:pPr>
    </w:p>
    <w:p w:rsidR="00134024" w:rsidRPr="00CB4794" w:rsidRDefault="00134024" w:rsidP="00134024">
      <w:pPr>
        <w:contextualSpacing/>
        <w:jc w:val="center"/>
      </w:pPr>
      <w:r w:rsidRPr="00CB4794">
        <w:t>CUADRO N° 10</w:t>
      </w:r>
    </w:p>
    <w:tbl>
      <w:tblPr>
        <w:tblStyle w:val="Listaclara-nfasis5"/>
        <w:tblW w:w="8320" w:type="dxa"/>
        <w:jc w:val="center"/>
        <w:tblLook w:val="04A0" w:firstRow="1" w:lastRow="0" w:firstColumn="1" w:lastColumn="0" w:noHBand="0" w:noVBand="1"/>
      </w:tblPr>
      <w:tblGrid>
        <w:gridCol w:w="2620"/>
        <w:gridCol w:w="1280"/>
        <w:gridCol w:w="1180"/>
        <w:gridCol w:w="760"/>
        <w:gridCol w:w="880"/>
        <w:gridCol w:w="760"/>
        <w:gridCol w:w="840"/>
      </w:tblGrid>
      <w:tr w:rsidR="00134024" w:rsidRPr="00CB4794">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color w:val="auto"/>
                <w:sz w:val="16"/>
                <w:szCs w:val="16"/>
                <w:lang w:eastAsia="es-EC"/>
              </w:rPr>
            </w:pPr>
            <w:r w:rsidRPr="00CB4794">
              <w:rPr>
                <w:rFonts w:ascii="Times New Roman" w:eastAsia="Times New Roman" w:hAnsi="Times New Roman" w:cs="Calibri"/>
                <w:color w:val="auto"/>
                <w:sz w:val="16"/>
                <w:szCs w:val="16"/>
                <w:lang w:eastAsia="es-EC"/>
              </w:rPr>
              <w:t> </w:t>
            </w:r>
          </w:p>
        </w:tc>
        <w:tc>
          <w:tcPr>
            <w:tcW w:w="128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2009</w:t>
            </w:r>
          </w:p>
        </w:tc>
        <w:tc>
          <w:tcPr>
            <w:tcW w:w="118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2010</w:t>
            </w:r>
          </w:p>
        </w:tc>
        <w:tc>
          <w:tcPr>
            <w:tcW w:w="76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w:t>
            </w:r>
          </w:p>
        </w:tc>
        <w:tc>
          <w:tcPr>
            <w:tcW w:w="88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HH1 2009</w:t>
            </w:r>
          </w:p>
        </w:tc>
        <w:tc>
          <w:tcPr>
            <w:tcW w:w="76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w:t>
            </w:r>
          </w:p>
        </w:tc>
        <w:tc>
          <w:tcPr>
            <w:tcW w:w="840" w:type="dxa"/>
            <w:noWrap/>
          </w:tcPr>
          <w:p w:rsidR="00134024" w:rsidRPr="00CB4794" w:rsidRDefault="00134024" w:rsidP="00CB479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color w:val="auto"/>
                <w:sz w:val="16"/>
                <w:szCs w:val="16"/>
                <w:lang w:eastAsia="es-EC"/>
              </w:rPr>
            </w:pPr>
            <w:r w:rsidRPr="00CB4794">
              <w:rPr>
                <w:rFonts w:ascii="Times New Roman" w:eastAsia="Times New Roman" w:hAnsi="Times New Roman" w:cs="Calibri"/>
                <w:b w:val="0"/>
                <w:bCs w:val="0"/>
                <w:color w:val="auto"/>
                <w:sz w:val="16"/>
                <w:szCs w:val="16"/>
                <w:lang w:eastAsia="es-EC"/>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LAB.FIF.MASTER PLANT</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17.890,40</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18.970,36</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2,82</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7,93</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0,58</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0,34</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LABORATORIOS LIFE</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2.090,43</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3.456,90</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0,33</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0,11</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0,11</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0,01</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LUBORATORIOS LUPERA </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2.520,36</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2.789,90</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0,40</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0,16</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0,09</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0,01</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FROSHER CIA </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1.630,50</w:t>
            </w:r>
          </w:p>
        </w:tc>
        <w:tc>
          <w:tcPr>
            <w:tcW w:w="1180" w:type="dxa"/>
            <w:noWrap/>
          </w:tcPr>
          <w:p w:rsidR="00134024" w:rsidRPr="00CB4794" w:rsidRDefault="00134024" w:rsidP="00CB479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-3.742,48</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0,26</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0,07</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-0,11</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0,01</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LABORATORIOS CHEFAR</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30.267,19</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32456,89</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4,76</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22,69</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0,99</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0,98</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ACROMAX LABORATORIO</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24.814,34</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679091,99</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3,91</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15,25</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20,76</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431,08</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LABORATORIO  WEIR S.</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51.905,10</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18886,853</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8,17</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66,72</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0,58</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0,33</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LABORATORIOS TOFIS</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-77.405,69</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890977,8</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-12,18</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148,39</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27,24</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742,06</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BIONATUS LABORATORIOS</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4.844,11</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6892,63</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0,76</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0,58</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0,21</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LABORATORIOS LIFARLIT </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2.307,34</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7.887,60</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0,36</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0,13</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0,24</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0,06</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NETLAB S.A.</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209.515,19</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281.433,77</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32,97</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1087,14</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8,60</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74,04</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QUALIPHARM LABORATORIO </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337.179,26</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371.234,78</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53,06</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2815,64</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11,35</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128,83</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  INDUNIDAS</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-20.324,87</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522.413,53</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-3,20</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10,23</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15,97</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255,11</w:t>
            </w:r>
          </w:p>
        </w:tc>
      </w:tr>
      <w:tr w:rsidR="00134024" w:rsidRPr="00CB4794">
        <w:trPr>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KRONOS LABORATORIOS</w:t>
            </w:r>
          </w:p>
        </w:tc>
        <w:tc>
          <w:tcPr>
            <w:tcW w:w="12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48.203,05</w:t>
            </w:r>
          </w:p>
        </w:tc>
        <w:tc>
          <w:tcPr>
            <w:tcW w:w="11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438.007,00</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7,59</w:t>
            </w:r>
          </w:p>
        </w:tc>
        <w:tc>
          <w:tcPr>
            <w:tcW w:w="88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57,54</w:t>
            </w:r>
          </w:p>
        </w:tc>
        <w:tc>
          <w:tcPr>
            <w:tcW w:w="76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13,39</w:t>
            </w:r>
          </w:p>
        </w:tc>
        <w:tc>
          <w:tcPr>
            <w:tcW w:w="84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179,34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262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2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635436,71</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3270757,523</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100,00</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4232,58</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100,00</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1812,24</w:t>
            </w:r>
          </w:p>
        </w:tc>
      </w:tr>
    </w:tbl>
    <w:p w:rsidR="00134024" w:rsidRPr="00CB4794" w:rsidRDefault="00134024" w:rsidP="00134024">
      <w:pPr>
        <w:contextualSpacing/>
        <w:rPr>
          <w:sz w:val="18"/>
          <w:szCs w:val="18"/>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r w:rsidRPr="00CB4794">
        <w:t xml:space="preserve">En el cuadro adjunto esta el cálculo de los índices de concentración  y los porcentajes </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center"/>
        <w:rPr>
          <w:b/>
        </w:rPr>
      </w:pPr>
      <w:r w:rsidRPr="00CB4794">
        <w:rPr>
          <w:b/>
        </w:rPr>
        <w:t>GRAFICO N°31</w:t>
      </w:r>
    </w:p>
    <w:p w:rsidR="00134024" w:rsidRPr="00CB4794" w:rsidRDefault="00134024" w:rsidP="00134024">
      <w:pPr>
        <w:contextualSpacing/>
        <w:jc w:val="center"/>
        <w:rPr>
          <w:b/>
        </w:rPr>
      </w:pPr>
    </w:p>
    <w:p w:rsidR="00134024" w:rsidRPr="00CB4794" w:rsidRDefault="00134024" w:rsidP="00134024">
      <w:pPr>
        <w:contextualSpacing/>
        <w:jc w:val="center"/>
      </w:pPr>
      <w:r w:rsidRPr="00CB4794">
        <w:rPr>
          <w:noProof/>
          <w:lang w:val="es-EC" w:eastAsia="es-EC"/>
        </w:rPr>
        <w:drawing>
          <wp:inline distT="0" distB="0" distL="0" distR="0">
            <wp:extent cx="5505450" cy="4362450"/>
            <wp:effectExtent l="19050" t="0" r="19050" b="0"/>
            <wp:docPr id="67"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134024" w:rsidRPr="00CB4794" w:rsidRDefault="00134024" w:rsidP="00134024">
      <w:pPr>
        <w:contextualSpacing/>
        <w:jc w:val="cente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pPr>
    </w:p>
    <w:p w:rsidR="00134024" w:rsidRPr="00CB4794" w:rsidRDefault="00134024" w:rsidP="00134024">
      <w:pPr>
        <w:contextualSpacing/>
        <w:jc w:val="both"/>
      </w:pPr>
      <w:r w:rsidRPr="00CB4794">
        <w:t>Los laboratorios con mayor porcentaje de rentabilidad son NETLAB, QUALIPHARMA, WEIR, KRONOS delos14 principales laboratorios de Guayaquil.</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center"/>
      </w:pPr>
      <w:r w:rsidRPr="00CB4794">
        <w:t>GRAFICO N° 32</w:t>
      </w:r>
    </w:p>
    <w:p w:rsidR="00134024" w:rsidRPr="00CB4794" w:rsidRDefault="00134024" w:rsidP="00134024">
      <w:pPr>
        <w:contextualSpacing/>
        <w:jc w:val="both"/>
      </w:pPr>
      <w:r w:rsidRPr="00CB4794">
        <w:rPr>
          <w:noProof/>
          <w:lang w:val="es-EC" w:eastAsia="es-EC"/>
        </w:rPr>
        <w:drawing>
          <wp:inline distT="0" distB="0" distL="0" distR="0">
            <wp:extent cx="5612130" cy="3983990"/>
            <wp:effectExtent l="19050" t="0" r="26670" b="0"/>
            <wp:docPr id="70"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134024" w:rsidRPr="00CB4794" w:rsidRDefault="00134024" w:rsidP="00134024">
      <w:pPr>
        <w:contextualSpacing/>
        <w:jc w:val="both"/>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r w:rsidRPr="00CB4794">
        <w:t>La concentración se encuentra en el laboratorio QUALIPHARM Y NETLAB.</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center"/>
        <w:rPr>
          <w:b/>
        </w:rPr>
      </w:pPr>
      <w:r w:rsidRPr="00CB4794">
        <w:rPr>
          <w:b/>
        </w:rPr>
        <w:t>GRAFICO N° 32</w:t>
      </w:r>
    </w:p>
    <w:p w:rsidR="00134024" w:rsidRPr="00CB4794" w:rsidRDefault="00134024" w:rsidP="00134024">
      <w:pPr>
        <w:contextualSpacing/>
        <w:jc w:val="both"/>
      </w:pPr>
    </w:p>
    <w:p w:rsidR="00134024" w:rsidRPr="00CB4794" w:rsidRDefault="00134024" w:rsidP="00134024">
      <w:pPr>
        <w:contextualSpacing/>
        <w:jc w:val="both"/>
      </w:pPr>
      <w:r w:rsidRPr="00CB4794">
        <w:rPr>
          <w:noProof/>
          <w:lang w:val="es-EC" w:eastAsia="es-EC"/>
        </w:rPr>
        <w:drawing>
          <wp:inline distT="0" distB="0" distL="0" distR="0">
            <wp:extent cx="5612130" cy="3615055"/>
            <wp:effectExtent l="0" t="0" r="7620" b="4445"/>
            <wp:docPr id="73"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134024" w:rsidRPr="00CB4794" w:rsidRDefault="00134024" w:rsidP="00134024">
      <w:pPr>
        <w:contextualSpacing/>
        <w:jc w:val="both"/>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r w:rsidRPr="00CB4794">
        <w:t>El 98% representa al monopolio de QUALIPHARM Y NETLAB en Guayaquil en el 2009 y el 2% a los 12 restantes laboratorios.</w:t>
      </w:r>
    </w:p>
    <w:p w:rsidR="00134024" w:rsidRPr="00CB4794" w:rsidRDefault="00134024" w:rsidP="00134024">
      <w:pPr>
        <w:contextualSpacing/>
        <w:jc w:val="both"/>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33</w:t>
      </w:r>
    </w:p>
    <w:p w:rsidR="00134024" w:rsidRPr="00CB4794" w:rsidRDefault="00134024" w:rsidP="00134024">
      <w:pPr>
        <w:contextualSpacing/>
        <w:jc w:val="both"/>
      </w:pPr>
      <w:r w:rsidRPr="00CB4794">
        <w:rPr>
          <w:noProof/>
          <w:lang w:val="es-EC" w:eastAsia="es-EC"/>
        </w:rPr>
        <w:drawing>
          <wp:inline distT="0" distB="0" distL="0" distR="0">
            <wp:extent cx="5705475" cy="4524375"/>
            <wp:effectExtent l="19050" t="0" r="0" b="0"/>
            <wp:docPr id="80"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134024" w:rsidRPr="00CB4794" w:rsidRDefault="00134024" w:rsidP="00134024">
      <w:pPr>
        <w:contextualSpacing/>
        <w:jc w:val="both"/>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r w:rsidRPr="00CB4794">
        <w:t>En el 2010 el porcentaje de rentabilidad aumenta para otros laboratorios, es decir existe menos  concentración que en 2009</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center"/>
      </w:pPr>
      <w:r w:rsidRPr="00CB4794">
        <w:t>GRAFICO N° 34</w:t>
      </w:r>
    </w:p>
    <w:p w:rsidR="00134024" w:rsidRPr="00CB4794" w:rsidRDefault="00134024" w:rsidP="00134024">
      <w:pPr>
        <w:contextualSpacing/>
        <w:jc w:val="both"/>
      </w:pPr>
    </w:p>
    <w:p w:rsidR="00134024" w:rsidRPr="00CB4794" w:rsidRDefault="00134024" w:rsidP="00134024">
      <w:pPr>
        <w:contextualSpacing/>
        <w:jc w:val="both"/>
      </w:pPr>
      <w:r w:rsidRPr="00CB4794">
        <w:rPr>
          <w:noProof/>
          <w:lang w:val="es-EC" w:eastAsia="es-EC"/>
        </w:rPr>
        <w:drawing>
          <wp:inline distT="0" distB="0" distL="0" distR="0">
            <wp:extent cx="5612130" cy="4038600"/>
            <wp:effectExtent l="0" t="0" r="7620" b="0"/>
            <wp:docPr id="8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134024" w:rsidRPr="00CB4794" w:rsidRDefault="00134024" w:rsidP="00134024">
      <w:pPr>
        <w:contextualSpacing/>
        <w:jc w:val="both"/>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ind w:left="708" w:hanging="708"/>
        <w:contextualSpacing/>
        <w:jc w:val="both"/>
      </w:pPr>
    </w:p>
    <w:p w:rsidR="00134024" w:rsidRPr="00CB4794" w:rsidRDefault="00134024" w:rsidP="00134024">
      <w:pPr>
        <w:contextualSpacing/>
        <w:jc w:val="both"/>
      </w:pPr>
    </w:p>
    <w:p w:rsidR="00134024" w:rsidRPr="00CB4794" w:rsidRDefault="00134024" w:rsidP="00134024">
      <w:pPr>
        <w:contextualSpacing/>
        <w:jc w:val="both"/>
      </w:pPr>
      <w:r w:rsidRPr="00CB4794">
        <w:t>En este año existe concentración pero no monopolio, porque hay 6 laboratorios que tienen una alta rentabilidad.</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rPr>
          <w:b/>
        </w:rPr>
      </w:pPr>
    </w:p>
    <w:p w:rsidR="00134024" w:rsidRPr="00CB4794" w:rsidRDefault="00134024" w:rsidP="00134024">
      <w:pPr>
        <w:contextualSpacing/>
        <w:jc w:val="center"/>
        <w:rPr>
          <w:b/>
        </w:rPr>
      </w:pPr>
      <w:r w:rsidRPr="00CB4794">
        <w:rPr>
          <w:b/>
        </w:rPr>
        <w:t>GRAFICO N° 35</w:t>
      </w:r>
    </w:p>
    <w:p w:rsidR="00134024" w:rsidRPr="00CB4794" w:rsidRDefault="00134024" w:rsidP="00134024">
      <w:pPr>
        <w:contextualSpacing/>
        <w:jc w:val="both"/>
      </w:pPr>
    </w:p>
    <w:p w:rsidR="00134024" w:rsidRPr="00CB4794" w:rsidRDefault="00134024" w:rsidP="00134024">
      <w:pPr>
        <w:contextualSpacing/>
        <w:jc w:val="center"/>
      </w:pPr>
      <w:r w:rsidRPr="00CB4794">
        <w:rPr>
          <w:noProof/>
          <w:lang w:val="es-EC" w:eastAsia="es-EC"/>
        </w:rPr>
        <w:drawing>
          <wp:inline distT="0" distB="0" distL="0" distR="0">
            <wp:extent cx="5113020" cy="3276600"/>
            <wp:effectExtent l="0" t="0" r="0" b="0"/>
            <wp:docPr id="83"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134024" w:rsidRPr="00CB4794" w:rsidRDefault="00134024" w:rsidP="00134024">
      <w:pPr>
        <w:contextualSpacing/>
        <w:jc w:val="cente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jc w:val="both"/>
      </w:pPr>
    </w:p>
    <w:p w:rsidR="00134024" w:rsidRPr="00CB4794" w:rsidRDefault="00134024" w:rsidP="00134024">
      <w:pPr>
        <w:contextualSpacing/>
        <w:jc w:val="both"/>
      </w:pPr>
      <w:r w:rsidRPr="00CB4794">
        <w:t>Por otro lado si bien es cierto hay más empresas ya no un monopolio, el porcentaje de concentración es89% del total de laboratorio estudiados, es decir no hay monopolio pero si un oligopolio.</w:t>
      </w: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pStyle w:val="Ttulo2"/>
        <w:spacing w:line="240" w:lineRule="auto"/>
        <w:rPr>
          <w:rFonts w:ascii="Times New Roman" w:hAnsi="Times New Roman"/>
          <w:b w:val="0"/>
          <w:color w:val="auto"/>
          <w:sz w:val="32"/>
        </w:rPr>
      </w:pPr>
      <w:bookmarkStart w:id="27" w:name="_Toc310868909"/>
      <w:r w:rsidRPr="00CB4794">
        <w:rPr>
          <w:rFonts w:ascii="Times New Roman" w:hAnsi="Times New Roman"/>
          <w:b w:val="0"/>
          <w:color w:val="auto"/>
          <w:sz w:val="32"/>
        </w:rPr>
        <w:t>PRODUCTOS FARMACEUTICOS DE QUITO Y GUAYAQUIL</w:t>
      </w:r>
      <w:bookmarkEnd w:id="27"/>
    </w:p>
    <w:p w:rsidR="00134024" w:rsidRPr="00CB4794" w:rsidRDefault="00134024" w:rsidP="00134024">
      <w:pPr>
        <w:pStyle w:val="Ttulo3"/>
        <w:spacing w:line="240" w:lineRule="auto"/>
        <w:rPr>
          <w:rFonts w:ascii="Times New Roman" w:hAnsi="Times New Roman"/>
          <w:b w:val="0"/>
          <w:color w:val="auto"/>
          <w:sz w:val="24"/>
        </w:rPr>
      </w:pPr>
      <w:bookmarkStart w:id="28" w:name="_Toc310868910"/>
      <w:r w:rsidRPr="00CB4794">
        <w:rPr>
          <w:rFonts w:ascii="Times New Roman" w:hAnsi="Times New Roman"/>
          <w:b w:val="0"/>
          <w:color w:val="auto"/>
          <w:sz w:val="24"/>
        </w:rPr>
        <w:t>ANALISIS DE PRODUCTOS FARMACEUTICOS DE QUITO</w:t>
      </w:r>
      <w:bookmarkEnd w:id="28"/>
    </w:p>
    <w:p w:rsidR="00134024" w:rsidRPr="00CB4794" w:rsidRDefault="00134024" w:rsidP="00134024">
      <w:pPr>
        <w:contextualSpacing/>
        <w:jc w:val="center"/>
      </w:pPr>
      <w:r w:rsidRPr="00CB4794">
        <w:t>CUADRO N°11</w:t>
      </w:r>
    </w:p>
    <w:tbl>
      <w:tblPr>
        <w:tblStyle w:val="Cuadrculaclara-nfasis11"/>
        <w:tblW w:w="8620" w:type="dxa"/>
        <w:tblLook w:val="04A0" w:firstRow="1" w:lastRow="0" w:firstColumn="1" w:lastColumn="0" w:noHBand="0" w:noVBand="1"/>
      </w:tblPr>
      <w:tblGrid>
        <w:gridCol w:w="3160"/>
        <w:gridCol w:w="1160"/>
        <w:gridCol w:w="1260"/>
        <w:gridCol w:w="700"/>
        <w:gridCol w:w="880"/>
        <w:gridCol w:w="656"/>
        <w:gridCol w:w="820"/>
      </w:tblGrid>
      <w:tr w:rsidR="00134024" w:rsidRPr="00CB47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160"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2009</w:t>
            </w:r>
          </w:p>
        </w:tc>
        <w:tc>
          <w:tcPr>
            <w:tcW w:w="1260"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2010</w:t>
            </w:r>
          </w:p>
        </w:tc>
        <w:tc>
          <w:tcPr>
            <w:tcW w:w="70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w:t>
            </w:r>
          </w:p>
        </w:tc>
        <w:tc>
          <w:tcPr>
            <w:tcW w:w="88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HH1 2009</w:t>
            </w:r>
          </w:p>
        </w:tc>
        <w:tc>
          <w:tcPr>
            <w:tcW w:w="64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w:t>
            </w:r>
          </w:p>
        </w:tc>
        <w:tc>
          <w:tcPr>
            <w:tcW w:w="82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PRODUCTOS  SANCELA DEL ECUADOR</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51.174.160,37</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56.671.226,21</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26,62</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708,77</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27,99</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783,41</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MEDICAMENTA ECUATORIANA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16.522.747,15</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18.922.326,67</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8,60</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73,89</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9,35</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87,34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BASELPHARMA S.A.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996.244,67</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2.329.340,04</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0,52</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0,27</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1,15</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1,32</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BANCO QUIRURGICO BANCOLOGY</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4.505.483,92</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2.851.165,27</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2,34</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5,49</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1,41</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1,98</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ABL PHARMA ECUADOR</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2.718.324,47</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3.499.837,40</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1,41</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2,00</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1,73</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2,99</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BEIERSDORP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6.413.587,68</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7.733.596,20</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3,34</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11,13</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3,82</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14,59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CORPORACION MAGMA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2.189.305,36</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3.002.151,75</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1,14</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1,30</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1,48</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2,20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MERK SHARP &amp; COHME CORPORATION</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14.149.759,07</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14.767.439,01</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7,36</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54,19</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7,29</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53,20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val="en-US" w:eastAsia="es-EC"/>
              </w:rPr>
            </w:pPr>
            <w:r w:rsidRPr="00CB4794">
              <w:rPr>
                <w:rFonts w:ascii="Times New Roman" w:eastAsia="Times New Roman" w:hAnsi="Times New Roman" w:cs="Calibri"/>
                <w:b w:val="0"/>
                <w:bCs w:val="0"/>
                <w:sz w:val="16"/>
                <w:szCs w:val="16"/>
                <w:lang w:val="en-US" w:eastAsia="es-EC"/>
              </w:rPr>
              <w:t>SCHERING PLOUG DEL ECUADOR S.A.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420.328,30</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487.801,07</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0,22</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0,05</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0,24</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0,06</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PROVEFARMA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6.393.401,95</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3.910.916,64</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3,33</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11,06</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1,93</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3,73</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MAXIMEDICAL CIA LTDA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486.107,26</w:t>
            </w:r>
          </w:p>
        </w:tc>
        <w:tc>
          <w:tcPr>
            <w:tcW w:w="12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0,25</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0,06</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IMPOTADORA IMFARMEDIC</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81.835,25</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95.496,67</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0,05</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INTERMEDICA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1.093.061,96</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1.235.519,78</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0,57</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0,32</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0,61</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0,37</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IMPORTACIONES  IMFAREC</w:t>
            </w:r>
          </w:p>
        </w:tc>
        <w:tc>
          <w:tcPr>
            <w:tcW w:w="116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64.156,20</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0,03</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BETAPHARMA S.A.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601.526,51</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891.069,74</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0,31</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0,10</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0,44</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0,19</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GARCOS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3.684.255,99</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4.167.413,35</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1,92</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3,67</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2,06</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4,24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BLENASTOR C.A.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2.121.639,54</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2.453.688,87</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1,10</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1,22</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1,21</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1,47</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CASA INDUSTRIAL FARMACEUTICA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108.816,23</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117.697,62</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0,06</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0,06</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FARMACID</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9.531.378,47</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9.076.471,44</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4,96</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24,59</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4,48</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20,10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FORNAX PHARMACEUTICALS CIA. LTDA.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84.705,40</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90.866,36</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GLAXOSMITHKLIVE  ECUADOR S.A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32.595.542,84</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38.610.108,79</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16,96</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287,55</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19,07</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363,63</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GENERICOS NACIONALES GENA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643.383,97</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621.555,25</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0,33</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0,11</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0,31</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RASERPHARM S.A</w:t>
            </w:r>
          </w:p>
        </w:tc>
        <w:tc>
          <w:tcPr>
            <w:tcW w:w="11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2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GENERICOS  GENAMERICA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1.366.564,04</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1.427.909,54</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0,71</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0,51</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0,71</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BRISTOL MYERS SQUIBB ECUADOR CIA. LTDA.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34.338.133,54</w:t>
            </w:r>
          </w:p>
        </w:tc>
        <w:tc>
          <w:tcPr>
            <w:tcW w:w="12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29.446.161,52</w:t>
            </w:r>
          </w:p>
        </w:tc>
        <w:tc>
          <w:tcPr>
            <w:tcW w:w="7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17,86</w:t>
            </w:r>
          </w:p>
        </w:tc>
        <w:tc>
          <w:tcPr>
            <w:tcW w:w="8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319,12</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14,54</w:t>
            </w:r>
          </w:p>
        </w:tc>
        <w:tc>
          <w:tcPr>
            <w:tcW w:w="82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211,50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60" w:type="dxa"/>
            <w:noWrap/>
          </w:tcPr>
          <w:p w:rsidR="00134024" w:rsidRPr="00CB4794" w:rsidRDefault="00134024" w:rsidP="00CB4794">
            <w:pPr>
              <w:rPr>
                <w:rFonts w:ascii="Times New Roman" w:eastAsia="Times New Roman" w:hAnsi="Times New Roman" w:cs="Calibri"/>
                <w:sz w:val="16"/>
                <w:szCs w:val="16"/>
                <w:lang w:eastAsia="es-EC"/>
              </w:rPr>
            </w:pP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192220293,9</w:t>
            </w:r>
          </w:p>
        </w:tc>
        <w:tc>
          <w:tcPr>
            <w:tcW w:w="12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202473915,4</w:t>
            </w:r>
          </w:p>
        </w:tc>
        <w:tc>
          <w:tcPr>
            <w:tcW w:w="70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100,00</w:t>
            </w:r>
          </w:p>
        </w:tc>
        <w:tc>
          <w:tcPr>
            <w:tcW w:w="8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1505,41</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100,00</w:t>
            </w:r>
          </w:p>
        </w:tc>
        <w:tc>
          <w:tcPr>
            <w:tcW w:w="82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1552,92</w:t>
            </w:r>
          </w:p>
        </w:tc>
      </w:tr>
    </w:tbl>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pPr>
      <w:r w:rsidRPr="00CB4794">
        <w:t>GRAFICO N° 36</w:t>
      </w:r>
    </w:p>
    <w:p w:rsidR="00134024" w:rsidRPr="00CB4794" w:rsidRDefault="00134024" w:rsidP="00134024">
      <w:pPr>
        <w:contextualSpacing/>
        <w:jc w:val="cente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817870" cy="4076700"/>
            <wp:effectExtent l="19050" t="0" r="11430" b="0"/>
            <wp:docPr id="84"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both"/>
      </w:pPr>
      <w:r w:rsidRPr="00CB4794">
        <w:t>En este caso la compañía con mayor porcentaje de activos es Productos Sancela del Ecuador  con un 26,62% con respecto a la que le sigue que es Birstol con 17,86.</w:t>
      </w: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both"/>
      </w:pPr>
    </w:p>
    <w:p w:rsidR="00134024" w:rsidRPr="00CB4794" w:rsidRDefault="00134024" w:rsidP="00134024">
      <w:pPr>
        <w:contextualSpacing/>
        <w:jc w:val="center"/>
      </w:pPr>
      <w:r w:rsidRPr="00CB4794">
        <w:t>GRAFICO N°36</w:t>
      </w:r>
    </w:p>
    <w:p w:rsidR="00134024" w:rsidRPr="00CB4794" w:rsidRDefault="00134024" w:rsidP="00134024">
      <w:pPr>
        <w:contextualSpacing/>
        <w:jc w:val="cente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6200775" cy="4295775"/>
            <wp:effectExtent l="19050" t="0" r="9525" b="0"/>
            <wp:docPr id="85"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sz w:val="32"/>
        </w:rPr>
      </w:pPr>
    </w:p>
    <w:p w:rsidR="00134024" w:rsidRPr="00CB4794" w:rsidRDefault="00134024" w:rsidP="00134024">
      <w:pPr>
        <w:contextualSpacing/>
        <w:jc w:val="both"/>
      </w:pPr>
      <w:r w:rsidRPr="00CB4794">
        <w:t>Con el índice calculado Productos Sancela tiene una gran concentración en sus activos con respecto a las otras compañías</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rPr>
      </w:pPr>
      <w:r w:rsidRPr="00CB4794">
        <w:rPr>
          <w:b/>
        </w:rPr>
        <w:t>GRAFICO N° 37</w:t>
      </w:r>
    </w:p>
    <w:p w:rsidR="00134024" w:rsidRPr="00CB4794" w:rsidRDefault="00134024" w:rsidP="00134024">
      <w:pPr>
        <w:contextualSpacing/>
        <w:jc w:val="center"/>
        <w:rPr>
          <w:b/>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4572000" cy="2743200"/>
            <wp:effectExtent l="19050" t="0" r="19050" b="0"/>
            <wp:docPr id="86" name="Gráfico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134024" w:rsidRPr="00CB4794" w:rsidRDefault="00134024" w:rsidP="00134024">
      <w:pPr>
        <w:contextualSpacing/>
        <w:jc w:val="center"/>
        <w:rPr>
          <w:b/>
          <w:sz w:val="32"/>
        </w:rPr>
      </w:pPr>
    </w:p>
    <w:p w:rsidR="00134024" w:rsidRPr="00CB4794" w:rsidRDefault="00134024" w:rsidP="00134024">
      <w:pPr>
        <w:ind w:firstLine="708"/>
        <w:contextualSpacing/>
        <w:rPr>
          <w:sz w:val="18"/>
          <w:szCs w:val="18"/>
        </w:rPr>
      </w:pPr>
      <w:r w:rsidRPr="00CB4794">
        <w:rPr>
          <w:sz w:val="18"/>
          <w:szCs w:val="18"/>
        </w:rPr>
        <w:t xml:space="preserve">   FUENTE: Superintendencia de Compañías</w:t>
      </w:r>
    </w:p>
    <w:p w:rsidR="00134024" w:rsidRPr="00CB4794" w:rsidRDefault="00134024" w:rsidP="00134024">
      <w:pPr>
        <w:ind w:firstLine="708"/>
        <w:contextualSpacing/>
        <w:rPr>
          <w:sz w:val="18"/>
          <w:szCs w:val="18"/>
        </w:rPr>
      </w:pPr>
      <w:r w:rsidRPr="00CB4794">
        <w:rPr>
          <w:sz w:val="18"/>
          <w:szCs w:val="18"/>
        </w:rPr>
        <w:t xml:space="preserve">   ELABORACIÓN: Instituto de Salud Pública</w:t>
      </w:r>
    </w:p>
    <w:p w:rsidR="00134024" w:rsidRPr="00CB4794" w:rsidRDefault="00134024" w:rsidP="00134024">
      <w:pPr>
        <w:contextualSpacing/>
        <w:jc w:val="center"/>
        <w:rPr>
          <w:b/>
          <w:sz w:val="32"/>
        </w:rPr>
      </w:pPr>
    </w:p>
    <w:p w:rsidR="00134024" w:rsidRPr="00CB4794" w:rsidRDefault="00134024" w:rsidP="00134024">
      <w:pPr>
        <w:contextualSpacing/>
        <w:jc w:val="both"/>
      </w:pPr>
      <w:r w:rsidRPr="00CB4794">
        <w:t>Observamos que esta compañía representa el 81% del total de empresas de importación de Productos farmacéuticos  más importantes en Quito</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37</w:t>
      </w: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6244590" cy="5486400"/>
            <wp:effectExtent l="19050" t="0" r="22860" b="0"/>
            <wp:docPr id="88"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38</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6172200" cy="4480560"/>
            <wp:effectExtent l="19050" t="0" r="19050" b="0"/>
            <wp:docPr id="89" name="Gráfico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 39</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4943475" cy="3552825"/>
            <wp:effectExtent l="0" t="0" r="0" b="0"/>
            <wp:docPr id="91"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 xml:space="preserve">         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pStyle w:val="Ttulo2"/>
        <w:spacing w:line="240" w:lineRule="auto"/>
        <w:rPr>
          <w:rFonts w:ascii="Times New Roman" w:hAnsi="Times New Roman"/>
          <w:b w:val="0"/>
          <w:color w:val="auto"/>
          <w:sz w:val="32"/>
        </w:rPr>
      </w:pPr>
      <w:bookmarkStart w:id="29" w:name="_Toc310868911"/>
      <w:r w:rsidRPr="00CB4794">
        <w:rPr>
          <w:rFonts w:ascii="Times New Roman" w:hAnsi="Times New Roman"/>
          <w:b w:val="0"/>
          <w:color w:val="auto"/>
          <w:sz w:val="32"/>
        </w:rPr>
        <w:t>ANALISIS DE PRODUCTOS FARMACEUTICOS GUAYAQUIL</w:t>
      </w:r>
      <w:bookmarkEnd w:id="29"/>
    </w:p>
    <w:p w:rsidR="00134024" w:rsidRPr="00CB4794" w:rsidRDefault="00134024" w:rsidP="00134024">
      <w:pPr>
        <w:contextualSpacing/>
        <w:jc w:val="center"/>
      </w:pPr>
      <w:r w:rsidRPr="00CB4794">
        <w:t>CUADRO N°12</w:t>
      </w:r>
    </w:p>
    <w:p w:rsidR="00134024" w:rsidRPr="00CB4794" w:rsidRDefault="00134024" w:rsidP="00134024">
      <w:pPr>
        <w:contextualSpacing/>
        <w:jc w:val="center"/>
      </w:pPr>
    </w:p>
    <w:tbl>
      <w:tblPr>
        <w:tblStyle w:val="Cuadrculaclara-nfasis11"/>
        <w:tblW w:w="8620" w:type="dxa"/>
        <w:tblLook w:val="04A0" w:firstRow="1" w:lastRow="0" w:firstColumn="1" w:lastColumn="0" w:noHBand="0" w:noVBand="1"/>
      </w:tblPr>
      <w:tblGrid>
        <w:gridCol w:w="3060"/>
        <w:gridCol w:w="1160"/>
        <w:gridCol w:w="1180"/>
        <w:gridCol w:w="656"/>
        <w:gridCol w:w="840"/>
        <w:gridCol w:w="760"/>
        <w:gridCol w:w="980"/>
      </w:tblGrid>
      <w:tr w:rsidR="00134024" w:rsidRPr="00CB47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160"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2009</w:t>
            </w:r>
          </w:p>
        </w:tc>
        <w:tc>
          <w:tcPr>
            <w:tcW w:w="1180"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2010</w:t>
            </w:r>
          </w:p>
        </w:tc>
        <w:tc>
          <w:tcPr>
            <w:tcW w:w="64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w:t>
            </w:r>
          </w:p>
        </w:tc>
        <w:tc>
          <w:tcPr>
            <w:tcW w:w="84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HH1 2009</w:t>
            </w:r>
          </w:p>
        </w:tc>
        <w:tc>
          <w:tcPr>
            <w:tcW w:w="76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w:t>
            </w:r>
          </w:p>
        </w:tc>
        <w:tc>
          <w:tcPr>
            <w:tcW w:w="98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DISTRIBUIDORA FARMACEUTICA DIFARE .</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83.015.201,35</w:t>
            </w:r>
          </w:p>
        </w:tc>
        <w:tc>
          <w:tcPr>
            <w:tcW w:w="1180" w:type="dxa"/>
            <w:noWrap/>
          </w:tcPr>
          <w:p w:rsidR="00134024" w:rsidRPr="00CB4794" w:rsidRDefault="00134024" w:rsidP="00CB479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85.356.789,23</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39,30</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1544,46</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37,14</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1379,12</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CHEMEQUIP INDUSTRIAS </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376.869,70</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357.784,94</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0,18</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0,03</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0,16</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0,02</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BAENA FARMAS S.A </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19.924,99</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2.851.165,27</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0,01</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1,24</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1,54</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PROVENCO</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420.328,30</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487.801,07</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0,20</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0,21</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0,05</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INSTITUTO FÁRMACO BIOLÓGICO INFABI</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836.406,43</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239.190,67</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0,40</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0,16</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0,10</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0,01</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LETERARGO DEL ECUADOR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41.841.880,19</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54.191.470,10</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19,81</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392,36</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23,58</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555,89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KIMTEMEN S.A.</w:t>
            </w:r>
          </w:p>
        </w:tc>
        <w:tc>
          <w:tcPr>
            <w:tcW w:w="116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180" w:type="dxa"/>
            <w:noWrap/>
          </w:tcPr>
          <w:p w:rsidR="00134024" w:rsidRPr="00CB4794" w:rsidRDefault="00134024" w:rsidP="00CB4794">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BAYER</w:t>
            </w:r>
          </w:p>
        </w:tc>
        <w:tc>
          <w:tcPr>
            <w:tcW w:w="116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1180" w:type="dxa"/>
            <w:noWrap/>
          </w:tcPr>
          <w:p w:rsidR="00134024" w:rsidRPr="00CB4794" w:rsidRDefault="00134024" w:rsidP="00CB4794">
            <w:pPr>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 </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FRISONEX IMPORTADORA FARMACEUTICA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2.844.550,73</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3.324.548,71</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1,35</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1,81</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1,45</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2,09</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BLENASTOR C.A.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2.121.639,54</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2.453.688,87</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1,00</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1,01</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1,07</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1,14</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CASA INDUSTRIAL FARMACEUTICA S.A.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108.816,23</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117.697,62</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0,05</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0,05</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FARMACID</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9.531.378,47</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9.076.471,44</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4,51</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20,36</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3,95</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15,59</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 xml:space="preserve">FORNAX PHARMACEUTICALS </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84.705,40</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90.866,36</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0,04</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0,00</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GLAXOSMITHKLIVE  ECUADOR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32.595.542,84</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38.610.108,79</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15,43</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238,11</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16,80</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282,18</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GENERICOS NACIONALES GENA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643.383,97</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621.555,25</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0,30</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0,09</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0,27</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0,07</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RASERPHARM S.A</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1.089.123,12</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1.190.834,89</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0,52</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0,27</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0,52</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0,27</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GENERICOS  GENAMERICA S.A.</w:t>
            </w: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1.366.564,04</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1.427.909,54</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0,65</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0,42</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0,62</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0,39</w:t>
            </w:r>
          </w:p>
        </w:tc>
      </w:tr>
      <w:tr w:rsidR="00134024" w:rsidRPr="00CB4794">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b w:val="0"/>
                <w:bCs w:val="0"/>
                <w:sz w:val="16"/>
                <w:szCs w:val="16"/>
                <w:lang w:eastAsia="es-EC"/>
              </w:rPr>
            </w:pPr>
            <w:r w:rsidRPr="00CB4794">
              <w:rPr>
                <w:rFonts w:ascii="Times New Roman" w:eastAsia="Times New Roman" w:hAnsi="Times New Roman" w:cs="Calibri"/>
                <w:b w:val="0"/>
                <w:bCs w:val="0"/>
                <w:sz w:val="16"/>
                <w:szCs w:val="16"/>
                <w:lang w:eastAsia="es-EC"/>
              </w:rPr>
              <w:t>BRISTOL MYERS SQUIBB ECUADOR</w:t>
            </w:r>
          </w:p>
        </w:tc>
        <w:tc>
          <w:tcPr>
            <w:tcW w:w="11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34.338.133,54</w:t>
            </w:r>
          </w:p>
        </w:tc>
        <w:tc>
          <w:tcPr>
            <w:tcW w:w="11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29.446.161,52</w:t>
            </w:r>
          </w:p>
        </w:tc>
        <w:tc>
          <w:tcPr>
            <w:tcW w:w="6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16,26</w:t>
            </w:r>
          </w:p>
        </w:tc>
        <w:tc>
          <w:tcPr>
            <w:tcW w:w="84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264,25</w:t>
            </w:r>
          </w:p>
        </w:tc>
        <w:tc>
          <w:tcPr>
            <w:tcW w:w="76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12,81</w:t>
            </w:r>
          </w:p>
        </w:tc>
        <w:tc>
          <w:tcPr>
            <w:tcW w:w="980" w:type="dxa"/>
            <w:noWrap/>
          </w:tcPr>
          <w:p w:rsidR="00134024" w:rsidRPr="00CB4794" w:rsidRDefault="00134024" w:rsidP="00CB4794">
            <w:pPr>
              <w:jc w:val="right"/>
              <w:cnfStyle w:val="000000010000" w:firstRow="0" w:lastRow="0" w:firstColumn="0" w:lastColumn="0" w:oddVBand="0" w:evenVBand="0" w:oddHBand="0" w:evenHBand="1"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164,13</w:t>
            </w:r>
          </w:p>
        </w:tc>
      </w:tr>
      <w:tr w:rsidR="00134024" w:rsidRPr="00CB479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60" w:type="dxa"/>
            <w:noWrap/>
          </w:tcPr>
          <w:p w:rsidR="00134024" w:rsidRPr="00CB4794" w:rsidRDefault="00134024" w:rsidP="00CB4794">
            <w:pPr>
              <w:rPr>
                <w:rFonts w:ascii="Times New Roman" w:eastAsia="Times New Roman" w:hAnsi="Times New Roman" w:cs="Calibri"/>
                <w:sz w:val="16"/>
                <w:szCs w:val="16"/>
                <w:lang w:eastAsia="es-EC"/>
              </w:rPr>
            </w:pPr>
          </w:p>
        </w:tc>
        <w:tc>
          <w:tcPr>
            <w:tcW w:w="11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211236457,8</w:t>
            </w:r>
          </w:p>
        </w:tc>
        <w:tc>
          <w:tcPr>
            <w:tcW w:w="11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229846054,3</w:t>
            </w:r>
          </w:p>
        </w:tc>
        <w:tc>
          <w:tcPr>
            <w:tcW w:w="6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99,999</w:t>
            </w:r>
          </w:p>
        </w:tc>
        <w:tc>
          <w:tcPr>
            <w:tcW w:w="84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2463,376</w:t>
            </w:r>
          </w:p>
        </w:tc>
        <w:tc>
          <w:tcPr>
            <w:tcW w:w="76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99,9991</w:t>
            </w:r>
          </w:p>
        </w:tc>
        <w:tc>
          <w:tcPr>
            <w:tcW w:w="98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Calibri"/>
                <w:sz w:val="16"/>
                <w:szCs w:val="16"/>
                <w:lang w:eastAsia="es-EC"/>
              </w:rPr>
            </w:pPr>
            <w:r w:rsidRPr="00CB4794">
              <w:rPr>
                <w:rFonts w:ascii="Times New Roman" w:eastAsia="Times New Roman" w:hAnsi="Times New Roman" w:cs="Calibri"/>
                <w:sz w:val="16"/>
                <w:szCs w:val="16"/>
                <w:lang w:eastAsia="es-EC"/>
              </w:rPr>
              <w:t>2402,49428</w:t>
            </w:r>
          </w:p>
        </w:tc>
      </w:tr>
    </w:tbl>
    <w:p w:rsidR="00134024" w:rsidRPr="00CB4794" w:rsidRDefault="00134024" w:rsidP="00134024">
      <w:pPr>
        <w:contextualSpacing/>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jc w:val="center"/>
        <w:rPr>
          <w:b/>
          <w:sz w:val="32"/>
        </w:rPr>
      </w:pPr>
      <w:r w:rsidRPr="00CB4794">
        <w:rPr>
          <w:b/>
          <w:sz w:val="32"/>
        </w:rPr>
        <w:t>GRAFICO N°40</w:t>
      </w:r>
    </w:p>
    <w:p w:rsidR="00134024" w:rsidRPr="00CB4794" w:rsidRDefault="00134024" w:rsidP="00134024">
      <w:pPr>
        <w:contextualSpacing/>
        <w:rPr>
          <w:b/>
          <w:sz w:val="32"/>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962650" cy="3581400"/>
            <wp:effectExtent l="19050" t="0" r="19050" b="0"/>
            <wp:docPr id="94" name="Gráfico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both"/>
        <w:rPr>
          <w:sz w:val="32"/>
        </w:rPr>
      </w:pPr>
    </w:p>
    <w:p w:rsidR="00134024" w:rsidRPr="00CB4794" w:rsidRDefault="00134024" w:rsidP="00134024">
      <w:pPr>
        <w:contextualSpacing/>
        <w:jc w:val="both"/>
      </w:pPr>
      <w:r w:rsidRPr="00CB4794">
        <w:t>En Guayaquil el mayor porcentaje de activos lo tienen la Distribuidora Difare con un 39,30% con respecto a las 18 importadoras y venta de productos farmacéuticos.</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pPr>
    </w:p>
    <w:p w:rsidR="00134024" w:rsidRPr="00CB4794" w:rsidRDefault="00134024" w:rsidP="00134024">
      <w:pPr>
        <w:contextualSpacing/>
        <w:jc w:val="center"/>
      </w:pPr>
      <w:r w:rsidRPr="00CB4794">
        <w:t>GRAFICO N° 41</w:t>
      </w:r>
    </w:p>
    <w:p w:rsidR="00134024" w:rsidRPr="00CB4794" w:rsidRDefault="00134024" w:rsidP="00134024">
      <w:pPr>
        <w:contextualSpacing/>
        <w:jc w:val="cente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591175" cy="4086225"/>
            <wp:effectExtent l="19050" t="0" r="9525" b="0"/>
            <wp:docPr id="95" name="Gráfico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both"/>
      </w:pPr>
      <w:r w:rsidRPr="00CB4794">
        <w:t>La concentración se encuentra en la distribuidora DIFARE, con un 1544, 46 dólares en relación con los otras distribuidoras e importadoras de productos farmacéuticos.</w:t>
      </w: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p>
    <w:p w:rsidR="00134024" w:rsidRPr="00CB4794" w:rsidRDefault="00134024" w:rsidP="00134024">
      <w:pPr>
        <w:contextualSpacing/>
        <w:jc w:val="center"/>
      </w:pPr>
      <w:r w:rsidRPr="00CB4794">
        <w:t>GRAFICO N° 42</w:t>
      </w:r>
    </w:p>
    <w:p w:rsidR="00134024" w:rsidRPr="00CB4794" w:rsidRDefault="00134024" w:rsidP="00134024">
      <w:pPr>
        <w:contextualSpacing/>
        <w:rPr>
          <w:b/>
          <w:sz w:val="32"/>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505450" cy="2857500"/>
            <wp:effectExtent l="19050" t="0" r="19050" b="0"/>
            <wp:docPr id="99" name="Gráfico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rFonts w:cstheme="majorHAnsi"/>
          <w:b/>
          <w:sz w:val="32"/>
        </w:rPr>
      </w:pPr>
    </w:p>
    <w:p w:rsidR="00134024" w:rsidRPr="00CB4794" w:rsidRDefault="00134024" w:rsidP="00134024">
      <w:pPr>
        <w:contextualSpacing/>
        <w:jc w:val="both"/>
      </w:pPr>
      <w:r w:rsidRPr="00CB4794">
        <w:rPr>
          <w:rFonts w:cstheme="majorHAnsi"/>
        </w:rPr>
        <w:t>El porcentaje total tienen DIFARE, LETERAGO, BRISTOL, GLAXOMILTH, las cuatro concentran el mercado en un 91# del total de las importadoras y distribuidoras farmacéuticas .</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pPr>
      <w:r w:rsidRPr="00CB4794">
        <w:t>GRAFICO N° 43</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429251" cy="3724276"/>
            <wp:effectExtent l="19050" t="0" r="19049" b="9524"/>
            <wp:docPr id="101"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pPr>
      <w:r w:rsidRPr="00CB4794">
        <w:t>GRAFICO N° 44</w:t>
      </w:r>
    </w:p>
    <w:p w:rsidR="00134024" w:rsidRPr="00CB4794" w:rsidRDefault="00134024" w:rsidP="00134024">
      <w:pPr>
        <w:contextualSpacing/>
        <w:jc w:val="cente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608320" cy="4663440"/>
            <wp:effectExtent l="0" t="0" r="0" b="3810"/>
            <wp:docPr id="104" name="Gráfico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134024" w:rsidRPr="00CB4794" w:rsidRDefault="00134024" w:rsidP="00134024">
      <w:pPr>
        <w:contextualSpacing/>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r w:rsidRPr="00CB4794">
        <w:rPr>
          <w:sz w:val="18"/>
          <w:szCs w:val="18"/>
        </w:rPr>
        <w:t>Por otro lado en el año 2010 DIFARE también concentra la mayor parte de activos en el mercado con un 1379,12 del total de  distribuidoras y laboratorios estudiados.</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center"/>
      </w:pPr>
      <w:r w:rsidRPr="00CB4794">
        <w:t>GRAFICO N° 45</w:t>
      </w: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105400" cy="3596640"/>
            <wp:effectExtent l="19050" t="0" r="19050" b="3810"/>
            <wp:docPr id="107"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 xml:space="preserve">       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both"/>
        <w:rPr>
          <w:rFonts w:cstheme="majorHAnsi"/>
        </w:rPr>
      </w:pPr>
      <w:r w:rsidRPr="00CB4794">
        <w:rPr>
          <w:rFonts w:cstheme="majorHAnsi"/>
        </w:rPr>
        <w:t>El porcentaje total de concentración tiene DIFARE, KIMTEMEN, GENA, BRISTOL</w:t>
      </w:r>
    </w:p>
    <w:p w:rsidR="00134024" w:rsidRPr="00CB4794" w:rsidRDefault="00134024" w:rsidP="00134024">
      <w:pPr>
        <w:contextualSpacing/>
        <w:jc w:val="center"/>
        <w:rPr>
          <w:rFonts w:cstheme="majorHAnsi"/>
          <w:b/>
          <w:sz w:val="32"/>
        </w:rPr>
      </w:pPr>
    </w:p>
    <w:p w:rsidR="00134024" w:rsidRPr="00CB4794" w:rsidRDefault="00134024" w:rsidP="00134024">
      <w:pPr>
        <w:contextualSpacing/>
        <w:jc w:val="center"/>
        <w:rPr>
          <w:rFonts w:cstheme="majorHAnsi"/>
          <w:b/>
          <w:sz w:val="32"/>
        </w:rPr>
      </w:pPr>
    </w:p>
    <w:p w:rsidR="00134024" w:rsidRPr="00CB4794" w:rsidRDefault="00134024" w:rsidP="00134024">
      <w:pPr>
        <w:contextualSpacing/>
        <w:jc w:val="center"/>
        <w:rPr>
          <w:rFonts w:cstheme="majorHAnsi"/>
          <w:b/>
          <w:sz w:val="32"/>
        </w:rPr>
      </w:pPr>
    </w:p>
    <w:p w:rsidR="00134024" w:rsidRPr="00CB4794" w:rsidRDefault="00134024" w:rsidP="00134024">
      <w:pPr>
        <w:contextualSpacing/>
        <w:jc w:val="center"/>
        <w:rPr>
          <w:rFonts w:cstheme="majorHAnsi"/>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pStyle w:val="Ttulo2"/>
        <w:spacing w:line="240" w:lineRule="auto"/>
        <w:rPr>
          <w:rFonts w:ascii="Times New Roman" w:hAnsi="Times New Roman"/>
          <w:b w:val="0"/>
          <w:color w:val="auto"/>
          <w:sz w:val="32"/>
        </w:rPr>
      </w:pPr>
      <w:bookmarkStart w:id="30" w:name="_Toc310868912"/>
      <w:r w:rsidRPr="00CB4794">
        <w:rPr>
          <w:rFonts w:ascii="Times New Roman" w:hAnsi="Times New Roman"/>
          <w:b w:val="0"/>
          <w:color w:val="auto"/>
          <w:sz w:val="32"/>
        </w:rPr>
        <w:t>ANALISIS DE RENTABILIDAD DE QUITO</w:t>
      </w:r>
      <w:bookmarkEnd w:id="30"/>
    </w:p>
    <w:p w:rsidR="00134024" w:rsidRPr="00CB4794" w:rsidRDefault="00134024" w:rsidP="00134024">
      <w:pPr>
        <w:contextualSpacing/>
        <w:rPr>
          <w:b/>
          <w:sz w:val="32"/>
        </w:rPr>
      </w:pPr>
    </w:p>
    <w:p w:rsidR="00134024" w:rsidRPr="00CB4794" w:rsidRDefault="00134024" w:rsidP="00134024">
      <w:pPr>
        <w:contextualSpacing/>
        <w:jc w:val="center"/>
        <w:rPr>
          <w:b/>
          <w:sz w:val="32"/>
        </w:rPr>
      </w:pPr>
      <w:r w:rsidRPr="00CB4794">
        <w:rPr>
          <w:b/>
          <w:sz w:val="32"/>
        </w:rPr>
        <w:t>GRAFICO N°46</w:t>
      </w: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6156960" cy="4800600"/>
            <wp:effectExtent l="19050" t="0" r="15240" b="0"/>
            <wp:docPr id="108"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p w:rsidR="00134024" w:rsidRPr="00CB4794" w:rsidRDefault="00134024" w:rsidP="00134024">
      <w:pPr>
        <w:contextualSpacing/>
        <w:rPr>
          <w:sz w:val="18"/>
          <w:szCs w:val="18"/>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jc w:val="center"/>
        <w:rPr>
          <w:b/>
        </w:rPr>
      </w:pPr>
      <w:r w:rsidRPr="00CB4794">
        <w:rPr>
          <w:b/>
        </w:rPr>
        <w:t>GRAFICO N°47</w:t>
      </w: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6404610" cy="4282440"/>
            <wp:effectExtent l="19050" t="0" r="15240" b="3810"/>
            <wp:docPr id="111"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center"/>
        <w:rPr>
          <w:b/>
        </w:rPr>
      </w:pPr>
      <w:r w:rsidRPr="00CB4794">
        <w:rPr>
          <w:b/>
        </w:rPr>
        <w:t>GRAFICO N°48</w:t>
      </w:r>
    </w:p>
    <w:p w:rsidR="00134024" w:rsidRPr="00CB4794" w:rsidRDefault="00134024" w:rsidP="00134024">
      <w:pPr>
        <w:contextualSpacing/>
        <w:rPr>
          <w:sz w:val="18"/>
          <w:szCs w:val="18"/>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4741545" cy="3596640"/>
            <wp:effectExtent l="0" t="0" r="0" b="0"/>
            <wp:docPr id="112"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18"/>
          <w:szCs w:val="18"/>
        </w:rPr>
      </w:pPr>
      <w:r w:rsidRPr="00CB4794">
        <w:rPr>
          <w:sz w:val="18"/>
          <w:szCs w:val="18"/>
        </w:rPr>
        <w:t>FUENTE: Superintendencia de Compañías</w:t>
      </w:r>
    </w:p>
    <w:p w:rsidR="00134024" w:rsidRPr="00CB4794" w:rsidRDefault="00134024" w:rsidP="00134024">
      <w:pPr>
        <w:contextualSpacing/>
        <w:rPr>
          <w:sz w:val="18"/>
          <w:szCs w:val="18"/>
        </w:rPr>
      </w:pPr>
      <w:r w:rsidRPr="00CB4794">
        <w:rPr>
          <w:sz w:val="18"/>
          <w:szCs w:val="18"/>
        </w:rPr>
        <w:t>ELABORACIÓN: Instituto de Salud Pública</w:t>
      </w:r>
    </w:p>
    <w:p w:rsidR="00134024" w:rsidRPr="00CB4794" w:rsidRDefault="00134024" w:rsidP="00134024">
      <w:pPr>
        <w:contextualSpacing/>
        <w:rPr>
          <w:sz w:val="18"/>
          <w:szCs w:val="18"/>
        </w:rPr>
      </w:pPr>
    </w:p>
    <w:p w:rsidR="00134024" w:rsidRPr="00CB4794" w:rsidRDefault="00134024" w:rsidP="00134024">
      <w:pPr>
        <w:contextualSpacing/>
        <w:jc w:val="both"/>
      </w:pPr>
      <w:r w:rsidRPr="00CB4794">
        <w:t>En Quito Productos Sancela representan el 97 % de las 12 entidades de productos farmacéuticos mientras que  las 11 restantes representan el 3%</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pStyle w:val="Ttulo2"/>
        <w:spacing w:line="240" w:lineRule="auto"/>
        <w:rPr>
          <w:rFonts w:ascii="Times New Roman" w:hAnsi="Times New Roman"/>
          <w:color w:val="auto"/>
          <w:sz w:val="28"/>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N°49</w:t>
      </w:r>
    </w:p>
    <w:p w:rsidR="00134024" w:rsidRPr="00CB4794" w:rsidRDefault="00134024" w:rsidP="00134024">
      <w:pPr>
        <w:contextualSpacing/>
        <w:rPr>
          <w:sz w:val="18"/>
          <w:szCs w:val="18"/>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844540" cy="5044440"/>
            <wp:effectExtent l="19050" t="0" r="3810" b="0"/>
            <wp:docPr id="113" name="Gráfico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center"/>
        <w:rPr>
          <w:b/>
        </w:rPr>
      </w:pPr>
      <w:r w:rsidRPr="00CB4794">
        <w:rPr>
          <w:b/>
        </w:rPr>
        <w:t>GRAFICO N°50</w:t>
      </w:r>
    </w:p>
    <w:p w:rsidR="00134024" w:rsidRPr="00CB4794" w:rsidRDefault="00134024" w:rsidP="00134024">
      <w:pPr>
        <w:contextualSpacing/>
        <w:rPr>
          <w:sz w:val="18"/>
          <w:szCs w:val="18"/>
        </w:rPr>
      </w:pPr>
    </w:p>
    <w:p w:rsidR="00134024" w:rsidRPr="00CB4794" w:rsidRDefault="00134024" w:rsidP="00134024">
      <w:pPr>
        <w:contextualSpacing/>
        <w:jc w:val="center"/>
        <w:rPr>
          <w:b/>
          <w:sz w:val="32"/>
        </w:rPr>
      </w:pPr>
      <w:r w:rsidRPr="00CB4794">
        <w:rPr>
          <w:b/>
          <w:noProof/>
          <w:sz w:val="32"/>
          <w:lang w:val="es-EC" w:eastAsia="es-EC"/>
        </w:rPr>
        <w:drawing>
          <wp:inline distT="0" distB="0" distL="0" distR="0">
            <wp:extent cx="5974080" cy="4173220"/>
            <wp:effectExtent l="19050" t="0" r="26670" b="0"/>
            <wp:docPr id="114" name="Gráfico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both"/>
      </w:pPr>
      <w:r w:rsidRPr="00CB4794">
        <w:t>En Quito concentra el capital MEDIKAMENTAL con un 3977, 20 dólares con respecto al total de distribuidoras estudiada</w:t>
      </w:r>
    </w:p>
    <w:p w:rsidR="00134024" w:rsidRPr="00CB4794" w:rsidRDefault="00134024" w:rsidP="00134024">
      <w:pPr>
        <w:contextualSpacing/>
        <w:jc w:val="both"/>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N°51</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r w:rsidRPr="00CB4794">
        <w:rPr>
          <w:noProof/>
          <w:sz w:val="18"/>
          <w:szCs w:val="18"/>
          <w:lang w:val="es-EC" w:eastAsia="es-EC"/>
        </w:rPr>
        <w:drawing>
          <wp:inline distT="0" distB="0" distL="0" distR="0">
            <wp:extent cx="5486400" cy="3057525"/>
            <wp:effectExtent l="0" t="0" r="0" b="0"/>
            <wp:docPr id="115" name="Gráfico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pPr>
    </w:p>
    <w:p w:rsidR="00134024" w:rsidRPr="00CB4794" w:rsidRDefault="00134024" w:rsidP="00134024">
      <w:pPr>
        <w:contextualSpacing/>
      </w:pPr>
      <w:r w:rsidRPr="00CB4794">
        <w:t>En año 2010 si bien el porcentaje de concentración de rentabilidad baja de 97% a 87% todavía representa un monopolio de Sancela.</w:t>
      </w:r>
    </w:p>
    <w:p w:rsidR="00134024" w:rsidRPr="00CB4794" w:rsidRDefault="00134024" w:rsidP="00134024">
      <w:pPr>
        <w:contextualSpacing/>
      </w:pPr>
    </w:p>
    <w:p w:rsidR="00134024" w:rsidRPr="00CB4794" w:rsidRDefault="00134024" w:rsidP="00134024">
      <w:pPr>
        <w:contextualSpacing/>
      </w:pPr>
      <w:r w:rsidRPr="00CB4794">
        <w:t>El porcentaje total e las cuatro principales esta en MAXIMEDIKAL, MAGMA, SANCELA en el año 2010</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pStyle w:val="Ttulo2"/>
        <w:spacing w:line="240" w:lineRule="auto"/>
        <w:rPr>
          <w:rFonts w:ascii="Times New Roman" w:hAnsi="Times New Roman"/>
          <w:b w:val="0"/>
          <w:color w:val="auto"/>
          <w:szCs w:val="18"/>
        </w:rPr>
      </w:pPr>
      <w:bookmarkStart w:id="31" w:name="_Toc310868913"/>
      <w:r w:rsidRPr="00CB4794">
        <w:rPr>
          <w:rFonts w:ascii="Times New Roman" w:hAnsi="Times New Roman"/>
          <w:b w:val="0"/>
          <w:color w:val="auto"/>
          <w:szCs w:val="18"/>
        </w:rPr>
        <w:t>ANALISIS RENTABILIDAD DE IMPORTANCION Y VENTA DE PROCDUCTOS FARMACEUTICOS GUAYAQUIL</w:t>
      </w:r>
      <w:bookmarkEnd w:id="31"/>
    </w:p>
    <w:p w:rsidR="00134024" w:rsidRPr="00CB4794" w:rsidRDefault="00134024" w:rsidP="00134024">
      <w:pPr>
        <w:contextualSpacing/>
        <w:jc w:val="center"/>
        <w:rPr>
          <w:b/>
          <w:szCs w:val="18"/>
        </w:rPr>
      </w:pPr>
    </w:p>
    <w:p w:rsidR="00134024" w:rsidRPr="00CB4794" w:rsidRDefault="00134024" w:rsidP="00134024">
      <w:pPr>
        <w:contextualSpacing/>
        <w:jc w:val="center"/>
        <w:rPr>
          <w:b/>
        </w:rPr>
      </w:pPr>
      <w:r w:rsidRPr="00CB4794">
        <w:rPr>
          <w:b/>
        </w:rPr>
        <w:t>GRAFICO N°52</w:t>
      </w:r>
    </w:p>
    <w:p w:rsidR="00134024" w:rsidRPr="00CB4794" w:rsidRDefault="00134024" w:rsidP="00134024">
      <w:pPr>
        <w:contextualSpacing/>
        <w:jc w:val="center"/>
        <w:rPr>
          <w:b/>
          <w:sz w:val="32"/>
        </w:rPr>
      </w:pPr>
      <w:r w:rsidRPr="00CB4794">
        <w:rPr>
          <w:noProof/>
          <w:lang w:val="es-EC" w:eastAsia="es-EC"/>
        </w:rPr>
        <w:drawing>
          <wp:inline distT="0" distB="0" distL="0" distR="0">
            <wp:extent cx="5777865" cy="4511040"/>
            <wp:effectExtent l="19050" t="0" r="13335" b="3810"/>
            <wp:docPr id="116" name="Gráfico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center"/>
        <w:rPr>
          <w:b/>
        </w:rPr>
      </w:pPr>
      <w:r w:rsidRPr="00CB4794">
        <w:rPr>
          <w:b/>
        </w:rPr>
        <w:t>GRAFICO N°53</w:t>
      </w:r>
    </w:p>
    <w:p w:rsidR="00134024" w:rsidRPr="00CB4794" w:rsidRDefault="00134024" w:rsidP="00134024">
      <w:pPr>
        <w:contextualSpacing/>
        <w:rPr>
          <w:sz w:val="18"/>
          <w:szCs w:val="18"/>
        </w:rPr>
      </w:pP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noProof/>
          <w:lang w:val="es-EC" w:eastAsia="es-EC"/>
        </w:rPr>
        <w:drawing>
          <wp:inline distT="0" distB="0" distL="0" distR="0">
            <wp:extent cx="5524500" cy="3209925"/>
            <wp:effectExtent l="0" t="0" r="0" b="0"/>
            <wp:docPr id="117" name="Gráfico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134024" w:rsidRPr="00CB4794" w:rsidRDefault="00134024" w:rsidP="00134024">
      <w:pPr>
        <w:contextualSpacing/>
        <w:rPr>
          <w:sz w:val="18"/>
          <w:szCs w:val="18"/>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center"/>
        <w:rPr>
          <w:b/>
        </w:rPr>
      </w:pPr>
      <w:r w:rsidRPr="00CB4794">
        <w:rPr>
          <w:b/>
        </w:rPr>
        <w:t>GRAFICO N°54</w:t>
      </w:r>
    </w:p>
    <w:p w:rsidR="00134024" w:rsidRPr="00CB4794" w:rsidRDefault="00134024" w:rsidP="00134024">
      <w:pPr>
        <w:contextualSpacing/>
        <w:jc w:val="center"/>
        <w:rPr>
          <w:b/>
          <w:sz w:val="32"/>
        </w:rPr>
      </w:pPr>
      <w:r w:rsidRPr="00CB4794">
        <w:rPr>
          <w:noProof/>
          <w:lang w:val="es-EC" w:eastAsia="es-EC"/>
        </w:rPr>
        <w:drawing>
          <wp:inline distT="0" distB="0" distL="0" distR="0">
            <wp:extent cx="5189220" cy="3520440"/>
            <wp:effectExtent l="19050" t="0" r="11430" b="3810"/>
            <wp:docPr id="118" name="Gráfico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both"/>
      </w:pPr>
      <w:r w:rsidRPr="00CB4794">
        <w:t>Por otro lado en Guayaquil, la mayor concentración de rentabilidad esta en Distribuidora Difare con un 96% de las 11 importadoras y venta de productos farmacéuticos. Y las 10 restantes representan el 4%.</w:t>
      </w:r>
    </w:p>
    <w:p w:rsidR="00134024" w:rsidRPr="00CB4794" w:rsidRDefault="00134024" w:rsidP="00134024">
      <w:pPr>
        <w:contextualSpacing/>
        <w:jc w:val="cente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N°55</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noProof/>
          <w:lang w:val="es-EC" w:eastAsia="es-EC"/>
        </w:rPr>
        <w:drawing>
          <wp:inline distT="0" distB="0" distL="0" distR="0">
            <wp:extent cx="5324475" cy="3086100"/>
            <wp:effectExtent l="0" t="0" r="9525" b="19050"/>
            <wp:docPr id="11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134024" w:rsidRPr="00CB4794" w:rsidRDefault="00134024" w:rsidP="00134024">
      <w:pPr>
        <w:contextualSpacing/>
        <w:rPr>
          <w:sz w:val="18"/>
          <w:szCs w:val="18"/>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jc w:val="center"/>
        <w:rPr>
          <w:b/>
        </w:rPr>
      </w:pPr>
      <w:r w:rsidRPr="00CB4794">
        <w:rPr>
          <w:b/>
        </w:rPr>
        <w:t>GRAFICO N°56</w:t>
      </w:r>
    </w:p>
    <w:p w:rsidR="00134024" w:rsidRPr="00CB4794" w:rsidRDefault="00134024" w:rsidP="00134024">
      <w:pPr>
        <w:contextualSpacing/>
        <w:jc w:val="center"/>
        <w:rPr>
          <w:b/>
          <w:sz w:val="32"/>
        </w:rPr>
      </w:pPr>
      <w:r w:rsidRPr="00CB4794">
        <w:rPr>
          <w:noProof/>
          <w:lang w:val="es-EC" w:eastAsia="es-EC"/>
        </w:rPr>
        <w:drawing>
          <wp:inline distT="0" distB="0" distL="0" distR="0">
            <wp:extent cx="5629275" cy="3067050"/>
            <wp:effectExtent l="0" t="0" r="0" b="0"/>
            <wp:docPr id="12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N°57</w:t>
      </w:r>
    </w:p>
    <w:p w:rsidR="00134024" w:rsidRPr="00CB4794" w:rsidRDefault="00134024" w:rsidP="00134024">
      <w:pPr>
        <w:contextualSpacing/>
        <w:jc w:val="center"/>
        <w:rPr>
          <w:b/>
          <w:sz w:val="32"/>
        </w:rPr>
      </w:pPr>
    </w:p>
    <w:p w:rsidR="00134024" w:rsidRPr="00CB4794" w:rsidRDefault="00134024" w:rsidP="00134024">
      <w:pPr>
        <w:contextualSpacing/>
        <w:jc w:val="center"/>
        <w:rPr>
          <w:b/>
          <w:sz w:val="32"/>
        </w:rPr>
      </w:pPr>
      <w:r w:rsidRPr="00CB4794">
        <w:rPr>
          <w:noProof/>
          <w:lang w:val="es-EC" w:eastAsia="es-EC"/>
        </w:rPr>
        <w:drawing>
          <wp:inline distT="0" distB="0" distL="0" distR="0">
            <wp:extent cx="5400675" cy="3009900"/>
            <wp:effectExtent l="0" t="0" r="0" b="0"/>
            <wp:docPr id="121" name="Gráfico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134024" w:rsidRPr="00CB4794" w:rsidRDefault="00134024" w:rsidP="00134024">
      <w:pPr>
        <w:contextualSpacing/>
        <w:jc w:val="center"/>
        <w:rPr>
          <w:b/>
          <w:sz w:val="32"/>
        </w:rPr>
      </w:pPr>
      <w:r w:rsidRPr="00CB4794">
        <w:rPr>
          <w:b/>
          <w:sz w:val="32"/>
        </w:rPr>
        <w:tab/>
      </w:r>
    </w:p>
    <w:p w:rsidR="00134024" w:rsidRPr="00CB4794" w:rsidRDefault="00134024" w:rsidP="00134024">
      <w:pPr>
        <w:contextualSpacing/>
        <w:rPr>
          <w:sz w:val="20"/>
          <w:szCs w:val="20"/>
        </w:rPr>
      </w:pPr>
      <w:r w:rsidRPr="00CB4794">
        <w:rPr>
          <w:b/>
          <w:sz w:val="20"/>
          <w:szCs w:val="20"/>
        </w:rPr>
        <w:t xml:space="preserve">   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rPr>
          <w:sz w:val="18"/>
          <w:szCs w:val="18"/>
        </w:rPr>
      </w:pPr>
    </w:p>
    <w:p w:rsidR="00134024" w:rsidRPr="00CB4794" w:rsidRDefault="00134024" w:rsidP="00134024">
      <w:pPr>
        <w:contextualSpacing/>
      </w:pPr>
      <w:r w:rsidRPr="00CB4794">
        <w:t>Por otro lado en el 2010 sube esta concentración de 96% a 97%, generado así un monopolio casi total de DIFARE.</w:t>
      </w: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contextualSpacing/>
        <w:rPr>
          <w:b/>
          <w:sz w:val="32"/>
        </w:rPr>
      </w:pPr>
    </w:p>
    <w:p w:rsidR="00134024" w:rsidRPr="00CB4794" w:rsidRDefault="00134024" w:rsidP="00134024">
      <w:pPr>
        <w:pStyle w:val="Ttulo2"/>
        <w:spacing w:line="240" w:lineRule="auto"/>
        <w:rPr>
          <w:rFonts w:ascii="Times New Roman" w:hAnsi="Times New Roman"/>
          <w:b w:val="0"/>
          <w:color w:val="auto"/>
          <w:sz w:val="32"/>
        </w:rPr>
      </w:pPr>
      <w:bookmarkStart w:id="32" w:name="_Toc310868914"/>
      <w:r w:rsidRPr="00CB4794">
        <w:rPr>
          <w:rFonts w:ascii="Times New Roman" w:hAnsi="Times New Roman"/>
          <w:b w:val="0"/>
          <w:color w:val="auto"/>
          <w:sz w:val="32"/>
        </w:rPr>
        <w:t>IMPORTACIÓN Y VENTA DE PRODUCTOS QUIMICOS</w:t>
      </w:r>
      <w:bookmarkEnd w:id="32"/>
    </w:p>
    <w:p w:rsidR="00134024" w:rsidRPr="00CB4794" w:rsidRDefault="00134024" w:rsidP="00134024">
      <w:pPr>
        <w:pStyle w:val="Ttulo2"/>
        <w:spacing w:line="240" w:lineRule="auto"/>
        <w:rPr>
          <w:rFonts w:ascii="Times New Roman" w:hAnsi="Times New Roman"/>
          <w:b w:val="0"/>
          <w:color w:val="auto"/>
          <w:sz w:val="32"/>
        </w:rPr>
      </w:pPr>
      <w:bookmarkStart w:id="33" w:name="_Toc310868915"/>
      <w:r w:rsidRPr="00CB4794">
        <w:rPr>
          <w:rFonts w:ascii="Times New Roman" w:hAnsi="Times New Roman"/>
          <w:b w:val="0"/>
          <w:color w:val="auto"/>
          <w:sz w:val="32"/>
        </w:rPr>
        <w:t>ANALISIS DE PRODUCTOS QUIMICOS QUITO</w:t>
      </w:r>
      <w:bookmarkEnd w:id="33"/>
    </w:p>
    <w:p w:rsidR="00134024" w:rsidRPr="00CB4794" w:rsidRDefault="00134024" w:rsidP="00134024">
      <w:pPr>
        <w:contextualSpacing/>
        <w:jc w:val="center"/>
        <w:rPr>
          <w:b/>
          <w:sz w:val="32"/>
        </w:rPr>
      </w:pPr>
    </w:p>
    <w:p w:rsidR="00134024" w:rsidRPr="00CB4794" w:rsidRDefault="00134024" w:rsidP="00134024">
      <w:pPr>
        <w:contextualSpacing/>
        <w:jc w:val="center"/>
        <w:rPr>
          <w:b/>
        </w:rPr>
      </w:pPr>
      <w:r w:rsidRPr="00CB4794">
        <w:rPr>
          <w:b/>
        </w:rPr>
        <w:t>CUADRO N°13</w:t>
      </w:r>
    </w:p>
    <w:tbl>
      <w:tblPr>
        <w:tblStyle w:val="Listaclara-nfasis11"/>
        <w:tblW w:w="8221" w:type="dxa"/>
        <w:jc w:val="center"/>
        <w:tblLook w:val="04A0" w:firstRow="1" w:lastRow="0" w:firstColumn="1" w:lastColumn="0" w:noHBand="0" w:noVBand="1"/>
      </w:tblPr>
      <w:tblGrid>
        <w:gridCol w:w="2364"/>
        <w:gridCol w:w="1328"/>
        <w:gridCol w:w="1261"/>
        <w:gridCol w:w="745"/>
        <w:gridCol w:w="878"/>
        <w:gridCol w:w="745"/>
        <w:gridCol w:w="900"/>
      </w:tblGrid>
      <w:tr w:rsidR="00134024" w:rsidRPr="00CB4794">
        <w:trPr>
          <w:cnfStyle w:val="100000000000" w:firstRow="1" w:lastRow="0" w:firstColumn="0" w:lastColumn="0" w:oddVBand="0" w:evenVBand="0" w:oddHBand="0"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color w:val="auto"/>
              </w:rPr>
            </w:pPr>
            <w:r w:rsidRPr="00CB4794">
              <w:rPr>
                <w:rFonts w:ascii="Times New Roman" w:eastAsia="Times New Roman" w:hAnsi="Times New Roman" w:cs="Times New Roman"/>
                <w:color w:val="auto"/>
              </w:rPr>
              <w:t> </w:t>
            </w:r>
          </w:p>
        </w:tc>
        <w:tc>
          <w:tcPr>
            <w:tcW w:w="1328"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CB4794">
              <w:rPr>
                <w:rFonts w:ascii="Times New Roman" w:eastAsia="Times New Roman" w:hAnsi="Times New Roman" w:cs="Times New Roman"/>
                <w:color w:val="auto"/>
                <w:sz w:val="16"/>
                <w:szCs w:val="16"/>
              </w:rPr>
              <w:t>2009</w:t>
            </w:r>
          </w:p>
        </w:tc>
        <w:tc>
          <w:tcPr>
            <w:tcW w:w="1261" w:type="dxa"/>
            <w:noWrap/>
          </w:tcPr>
          <w:p w:rsidR="00134024" w:rsidRPr="00CB4794" w:rsidRDefault="00134024" w:rsidP="00CB4794">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CB4794">
              <w:rPr>
                <w:rFonts w:ascii="Times New Roman" w:eastAsia="Times New Roman" w:hAnsi="Times New Roman" w:cs="Times New Roman"/>
                <w:color w:val="auto"/>
                <w:sz w:val="16"/>
                <w:szCs w:val="16"/>
              </w:rPr>
              <w:t>2010</w:t>
            </w:r>
          </w:p>
        </w:tc>
        <w:tc>
          <w:tcPr>
            <w:tcW w:w="745"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rPr>
            </w:pPr>
            <w:r w:rsidRPr="00CB4794">
              <w:rPr>
                <w:rFonts w:ascii="Times New Roman" w:eastAsia="Times New Roman" w:hAnsi="Times New Roman" w:cs="Times New Roman"/>
                <w:color w:val="auto"/>
              </w:rPr>
              <w:t>%</w:t>
            </w:r>
          </w:p>
        </w:tc>
        <w:tc>
          <w:tcPr>
            <w:tcW w:w="878"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CB4794">
              <w:rPr>
                <w:rFonts w:ascii="Times New Roman" w:eastAsia="Times New Roman" w:hAnsi="Times New Roman" w:cs="Times New Roman"/>
                <w:color w:val="auto"/>
                <w:sz w:val="16"/>
                <w:szCs w:val="16"/>
              </w:rPr>
              <w:t>HH1 2009</w:t>
            </w:r>
          </w:p>
        </w:tc>
        <w:tc>
          <w:tcPr>
            <w:tcW w:w="745"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CB4794">
              <w:rPr>
                <w:rFonts w:ascii="Times New Roman" w:eastAsia="Times New Roman" w:hAnsi="Times New Roman" w:cs="Times New Roman"/>
                <w:color w:val="auto"/>
                <w:sz w:val="16"/>
                <w:szCs w:val="16"/>
              </w:rPr>
              <w:t>%</w:t>
            </w:r>
          </w:p>
        </w:tc>
        <w:tc>
          <w:tcPr>
            <w:tcW w:w="900" w:type="dxa"/>
            <w:noWrap/>
          </w:tcPr>
          <w:p w:rsidR="00134024" w:rsidRPr="00CB4794" w:rsidRDefault="00134024" w:rsidP="00CB4794">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sz w:val="16"/>
                <w:szCs w:val="16"/>
              </w:rPr>
            </w:pPr>
            <w:r w:rsidRPr="00CB4794">
              <w:rPr>
                <w:rFonts w:ascii="Times New Roman" w:eastAsia="Times New Roman" w:hAnsi="Times New Roman" w:cs="Times New Roman"/>
                <w:color w:val="auto"/>
                <w:sz w:val="16"/>
                <w:szCs w:val="16"/>
              </w:rPr>
              <w:t>HH1 2010</w:t>
            </w:r>
          </w:p>
        </w:tc>
      </w:tr>
      <w:tr w:rsidR="00134024" w:rsidRPr="00CB479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IMPORTACIONES  IMFAREC</w:t>
            </w:r>
          </w:p>
        </w:tc>
        <w:tc>
          <w:tcPr>
            <w:tcW w:w="132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81.835,25</w:t>
            </w:r>
          </w:p>
        </w:tc>
        <w:tc>
          <w:tcPr>
            <w:tcW w:w="12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95.496,67</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0,09</w:t>
            </w:r>
          </w:p>
        </w:tc>
        <w:tc>
          <w:tcPr>
            <w:tcW w:w="87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0,01</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0,11</w:t>
            </w:r>
          </w:p>
        </w:tc>
        <w:tc>
          <w:tcPr>
            <w:tcW w:w="9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0,01</w:t>
            </w:r>
          </w:p>
        </w:tc>
      </w:tr>
      <w:tr w:rsidR="00134024" w:rsidRPr="00CB4794">
        <w:trPr>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HOSPIMEDIKKA CIA LTDA</w:t>
            </w:r>
          </w:p>
        </w:tc>
        <w:tc>
          <w:tcPr>
            <w:tcW w:w="132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1.616.950,14</w:t>
            </w:r>
          </w:p>
        </w:tc>
        <w:tc>
          <w:tcPr>
            <w:tcW w:w="12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1.684.141,17</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1,84</w:t>
            </w:r>
          </w:p>
        </w:tc>
        <w:tc>
          <w:tcPr>
            <w:tcW w:w="87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3,38</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1,96</w:t>
            </w:r>
          </w:p>
        </w:tc>
        <w:tc>
          <w:tcPr>
            <w:tcW w:w="9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3,83</w:t>
            </w:r>
          </w:p>
        </w:tc>
      </w:tr>
      <w:tr w:rsidR="00134024" w:rsidRPr="00CB479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BASE ECUATORIANA S.A.</w:t>
            </w:r>
          </w:p>
        </w:tc>
        <w:tc>
          <w:tcPr>
            <w:tcW w:w="132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56.323.227,85</w:t>
            </w:r>
          </w:p>
        </w:tc>
        <w:tc>
          <w:tcPr>
            <w:tcW w:w="12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6.983.572,64</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64,06</w:t>
            </w:r>
          </w:p>
        </w:tc>
        <w:tc>
          <w:tcPr>
            <w:tcW w:w="87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4104,22</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8,12</w:t>
            </w:r>
          </w:p>
        </w:tc>
        <w:tc>
          <w:tcPr>
            <w:tcW w:w="9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65,94</w:t>
            </w:r>
          </w:p>
        </w:tc>
      </w:tr>
      <w:tr w:rsidR="00134024" w:rsidRPr="00CB4794">
        <w:trPr>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PHARMABRAND</w:t>
            </w:r>
          </w:p>
        </w:tc>
        <w:tc>
          <w:tcPr>
            <w:tcW w:w="132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12.070.412,11</w:t>
            </w:r>
          </w:p>
        </w:tc>
        <w:tc>
          <w:tcPr>
            <w:tcW w:w="12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10325949,8</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13,73</w:t>
            </w:r>
          </w:p>
        </w:tc>
        <w:tc>
          <w:tcPr>
            <w:tcW w:w="87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188,50</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12,01</w:t>
            </w:r>
          </w:p>
        </w:tc>
        <w:tc>
          <w:tcPr>
            <w:tcW w:w="9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144,16</w:t>
            </w:r>
          </w:p>
        </w:tc>
      </w:tr>
      <w:tr w:rsidR="00134024" w:rsidRPr="00CB479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PHARMA TOTAL S.A.</w:t>
            </w:r>
          </w:p>
        </w:tc>
        <w:tc>
          <w:tcPr>
            <w:tcW w:w="132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19.304,64</w:t>
            </w:r>
          </w:p>
        </w:tc>
        <w:tc>
          <w:tcPr>
            <w:tcW w:w="12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26721,83</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0,02</w:t>
            </w:r>
          </w:p>
        </w:tc>
        <w:tc>
          <w:tcPr>
            <w:tcW w:w="87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0,00</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0,03</w:t>
            </w:r>
          </w:p>
        </w:tc>
        <w:tc>
          <w:tcPr>
            <w:tcW w:w="9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0,00</w:t>
            </w:r>
          </w:p>
        </w:tc>
      </w:tr>
      <w:tr w:rsidR="00134024" w:rsidRPr="00CB4794">
        <w:trPr>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 xml:space="preserve">QUIMICA ARISTON ECUADOR  </w:t>
            </w:r>
          </w:p>
        </w:tc>
        <w:tc>
          <w:tcPr>
            <w:tcW w:w="132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5.929.276,89</w:t>
            </w:r>
          </w:p>
        </w:tc>
        <w:tc>
          <w:tcPr>
            <w:tcW w:w="12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54469938,76</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6,74</w:t>
            </w:r>
          </w:p>
        </w:tc>
        <w:tc>
          <w:tcPr>
            <w:tcW w:w="87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45,48</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63,34</w:t>
            </w:r>
          </w:p>
        </w:tc>
        <w:tc>
          <w:tcPr>
            <w:tcW w:w="9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4011,47</w:t>
            </w:r>
          </w:p>
        </w:tc>
      </w:tr>
      <w:tr w:rsidR="00134024" w:rsidRPr="00CB4794">
        <w:trPr>
          <w:cnfStyle w:val="000000100000" w:firstRow="0" w:lastRow="0" w:firstColumn="0" w:lastColumn="0" w:oddVBand="0" w:evenVBand="0" w:oddHBand="1" w:evenHBand="0" w:firstRowFirstColumn="0" w:firstRowLastColumn="0" w:lastRowFirstColumn="0" w:lastRowLastColumn="0"/>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QUALA ECUADOR S.A.</w:t>
            </w:r>
          </w:p>
        </w:tc>
        <w:tc>
          <w:tcPr>
            <w:tcW w:w="132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11.873.818,97</w:t>
            </w:r>
          </w:p>
        </w:tc>
        <w:tc>
          <w:tcPr>
            <w:tcW w:w="1261"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12413448,49</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13,51</w:t>
            </w:r>
          </w:p>
        </w:tc>
        <w:tc>
          <w:tcPr>
            <w:tcW w:w="878"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182,41</w:t>
            </w:r>
          </w:p>
        </w:tc>
        <w:tc>
          <w:tcPr>
            <w:tcW w:w="745"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14,43</w:t>
            </w:r>
          </w:p>
        </w:tc>
        <w:tc>
          <w:tcPr>
            <w:tcW w:w="900" w:type="dxa"/>
            <w:noWrap/>
          </w:tcPr>
          <w:p w:rsidR="00134024" w:rsidRPr="00CB4794" w:rsidRDefault="00134024" w:rsidP="00CB4794">
            <w:pPr>
              <w:jc w:val="right"/>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208,34</w:t>
            </w:r>
          </w:p>
        </w:tc>
      </w:tr>
      <w:tr w:rsidR="00134024" w:rsidRPr="00CB4794">
        <w:trPr>
          <w:trHeight w:val="329"/>
          <w:jc w:val="center"/>
        </w:trPr>
        <w:tc>
          <w:tcPr>
            <w:cnfStyle w:val="001000000000" w:firstRow="0" w:lastRow="0" w:firstColumn="1" w:lastColumn="0" w:oddVBand="0" w:evenVBand="0" w:oddHBand="0" w:evenHBand="0" w:firstRowFirstColumn="0" w:firstRowLastColumn="0" w:lastRowFirstColumn="0" w:lastRowLastColumn="0"/>
            <w:tcW w:w="2364" w:type="dxa"/>
            <w:noWrap/>
          </w:tcPr>
          <w:p w:rsidR="00134024" w:rsidRPr="00CB4794" w:rsidRDefault="00134024" w:rsidP="00CB4794">
            <w:pPr>
              <w:rPr>
                <w:rFonts w:ascii="Times New Roman" w:eastAsia="Times New Roman" w:hAnsi="Times New Roman" w:cs="Times New Roman"/>
              </w:rPr>
            </w:pPr>
            <w:r w:rsidRPr="00CB4794">
              <w:rPr>
                <w:rFonts w:ascii="Times New Roman" w:eastAsia="Times New Roman" w:hAnsi="Times New Roman" w:cs="Times New Roman"/>
              </w:rPr>
              <w:t> </w:t>
            </w:r>
          </w:p>
        </w:tc>
        <w:tc>
          <w:tcPr>
            <w:tcW w:w="132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87916834,85</w:t>
            </w:r>
          </w:p>
        </w:tc>
        <w:tc>
          <w:tcPr>
            <w:tcW w:w="1261"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86001279,36</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100,00</w:t>
            </w:r>
          </w:p>
        </w:tc>
        <w:tc>
          <w:tcPr>
            <w:tcW w:w="878"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4524,00</w:t>
            </w:r>
          </w:p>
        </w:tc>
        <w:tc>
          <w:tcPr>
            <w:tcW w:w="745"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100,00</w:t>
            </w:r>
          </w:p>
        </w:tc>
        <w:tc>
          <w:tcPr>
            <w:tcW w:w="900" w:type="dxa"/>
            <w:noWrap/>
          </w:tcPr>
          <w:p w:rsidR="00134024" w:rsidRPr="00CB4794" w:rsidRDefault="00134024" w:rsidP="00CB4794">
            <w:pPr>
              <w:jc w:val="right"/>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16"/>
                <w:szCs w:val="16"/>
              </w:rPr>
            </w:pPr>
            <w:r w:rsidRPr="00CB4794">
              <w:rPr>
                <w:rFonts w:ascii="Times New Roman" w:eastAsia="Times New Roman" w:hAnsi="Times New Roman" w:cs="Times New Roman"/>
                <w:sz w:val="16"/>
                <w:szCs w:val="16"/>
              </w:rPr>
              <w:t>4433,76</w:t>
            </w:r>
          </w:p>
        </w:tc>
      </w:tr>
    </w:tbl>
    <w:p w:rsidR="00134024" w:rsidRPr="00CB4794" w:rsidRDefault="00134024" w:rsidP="00134024">
      <w:pPr>
        <w:contextualSpacing/>
        <w:jc w:val="center"/>
        <w:rPr>
          <w:b/>
          <w:sz w:val="32"/>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N°58</w:t>
      </w: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noProof/>
          <w:lang w:val="es-EC" w:eastAsia="es-EC"/>
        </w:rPr>
        <w:drawing>
          <wp:inline distT="0" distB="0" distL="0" distR="0">
            <wp:extent cx="5057775" cy="3286125"/>
            <wp:effectExtent l="19050" t="0" r="9525" b="0"/>
            <wp:docPr id="122"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b/>
          <w:sz w:val="20"/>
          <w:szCs w:val="20"/>
        </w:rPr>
        <w:t xml:space="preserve">         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rPr>
        <w:t>GRAFICO N°59</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791075" cy="2790825"/>
            <wp:effectExtent l="19050" t="0" r="9525" b="0"/>
            <wp:docPr id="123"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jc w:val="center"/>
        <w:rPr>
          <w:b/>
        </w:rPr>
      </w:pPr>
      <w:r w:rsidRPr="00CB4794">
        <w:rPr>
          <w:b/>
        </w:rPr>
        <w:t>GRAFICO N°60</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572000" cy="3124200"/>
            <wp:effectExtent l="0" t="0" r="0" b="0"/>
            <wp:docPr id="12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134024" w:rsidRPr="00CB4794" w:rsidRDefault="00134024" w:rsidP="00134024">
      <w:pPr>
        <w:contextualSpacing/>
        <w:jc w:val="center"/>
        <w:rPr>
          <w:b/>
        </w:rPr>
      </w:pPr>
    </w:p>
    <w:p w:rsidR="00134024" w:rsidRPr="00CB4794" w:rsidRDefault="00134024" w:rsidP="00134024">
      <w:pPr>
        <w:ind w:firstLine="708"/>
        <w:contextualSpacing/>
        <w:rPr>
          <w:sz w:val="18"/>
          <w:szCs w:val="18"/>
        </w:rPr>
      </w:pPr>
      <w:r w:rsidRPr="00CB4794">
        <w:rPr>
          <w:sz w:val="18"/>
          <w:szCs w:val="18"/>
        </w:rPr>
        <w:t xml:space="preserve">  FUENTE: Superintendencia de Compañías</w:t>
      </w:r>
    </w:p>
    <w:p w:rsidR="00134024" w:rsidRPr="00CB4794" w:rsidRDefault="00134024" w:rsidP="00134024">
      <w:pPr>
        <w:contextualSpacing/>
        <w:rPr>
          <w:sz w:val="18"/>
          <w:szCs w:val="18"/>
        </w:rPr>
      </w:pPr>
      <w:r w:rsidRPr="00CB4794">
        <w:rPr>
          <w:sz w:val="18"/>
          <w:szCs w:val="18"/>
        </w:rPr>
        <w:t xml:space="preserve">                   ELABORACIÓN: Instituto de Salud Pública</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N°61</w:t>
      </w: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noProof/>
          <w:lang w:val="es-EC" w:eastAsia="es-EC"/>
        </w:rPr>
        <w:drawing>
          <wp:inline distT="0" distB="0" distL="0" distR="0">
            <wp:extent cx="5196840" cy="2971800"/>
            <wp:effectExtent l="19050" t="0" r="22860" b="0"/>
            <wp:docPr id="125"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134024" w:rsidRPr="00CB4794" w:rsidRDefault="00134024" w:rsidP="00134024">
      <w:pPr>
        <w:contextualSpacing/>
        <w:rPr>
          <w:b/>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ind w:firstLine="708"/>
        <w:contextualSpacing/>
        <w:rPr>
          <w:b/>
        </w:rPr>
      </w:pPr>
    </w:p>
    <w:p w:rsidR="00134024" w:rsidRPr="00CB4794" w:rsidRDefault="00134024" w:rsidP="00134024">
      <w:pPr>
        <w:contextualSpacing/>
        <w:jc w:val="center"/>
        <w:rPr>
          <w:b/>
        </w:rPr>
      </w:pPr>
      <w:r w:rsidRPr="00CB4794">
        <w:rPr>
          <w:b/>
        </w:rPr>
        <w:t>GRAFICO N°62</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572000" cy="2743200"/>
            <wp:effectExtent l="19050" t="0" r="19050" b="0"/>
            <wp:docPr id="126"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134024" w:rsidRPr="00CB4794" w:rsidRDefault="00134024" w:rsidP="00134024">
      <w:pPr>
        <w:contextualSpacing/>
        <w:jc w:val="center"/>
        <w:rPr>
          <w:b/>
        </w:rPr>
      </w:pPr>
    </w:p>
    <w:p w:rsidR="00134024" w:rsidRPr="00CB4794" w:rsidRDefault="00134024" w:rsidP="00134024">
      <w:pPr>
        <w:ind w:firstLine="708"/>
        <w:contextualSpacing/>
        <w:rPr>
          <w:sz w:val="20"/>
          <w:szCs w:val="20"/>
        </w:rPr>
      </w:pPr>
      <w:r w:rsidRPr="00CB4794">
        <w:rPr>
          <w:b/>
          <w:sz w:val="20"/>
          <w:szCs w:val="20"/>
        </w:rPr>
        <w:t xml:space="preserve">  FUENTE:</w:t>
      </w:r>
      <w:r w:rsidRPr="00CB4794">
        <w:rPr>
          <w:sz w:val="20"/>
          <w:szCs w:val="20"/>
        </w:rPr>
        <w:t xml:space="preserve"> Superintendencia de Compañías</w:t>
      </w:r>
    </w:p>
    <w:p w:rsidR="00134024" w:rsidRPr="00CB4794" w:rsidRDefault="00134024" w:rsidP="00134024">
      <w:pPr>
        <w:ind w:firstLine="708"/>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rPr>
        <w:t>GRAFICO N°63</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572000" cy="2743200"/>
            <wp:effectExtent l="19050" t="0" r="19050" b="0"/>
            <wp:docPr id="127"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ind w:firstLine="708"/>
        <w:contextualSpacing/>
        <w:rPr>
          <w:b/>
        </w:rPr>
      </w:pPr>
    </w:p>
    <w:p w:rsidR="00134024" w:rsidRPr="00CB4794" w:rsidRDefault="00134024" w:rsidP="00134024">
      <w:pPr>
        <w:contextualSpacing/>
        <w:jc w:val="center"/>
        <w:rPr>
          <w:b/>
        </w:rPr>
      </w:pPr>
      <w:r w:rsidRPr="00CB4794">
        <w:rPr>
          <w:b/>
        </w:rPr>
        <w:t>GRAFICO N°64</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572000" cy="2743200"/>
            <wp:effectExtent l="19050" t="0" r="19050" b="0"/>
            <wp:docPr id="128"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ind w:firstLine="708"/>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N°65</w:t>
      </w:r>
    </w:p>
    <w:p w:rsidR="00134024" w:rsidRPr="00CB4794" w:rsidRDefault="00134024" w:rsidP="00134024">
      <w:pPr>
        <w:contextualSpacing/>
        <w:jc w:val="center"/>
        <w:rPr>
          <w:b/>
        </w:rPr>
      </w:pPr>
      <w:r w:rsidRPr="00CB4794">
        <w:rPr>
          <w:b/>
          <w:noProof/>
          <w:lang w:val="es-EC" w:eastAsia="es-EC"/>
        </w:rPr>
        <w:drawing>
          <wp:inline distT="0" distB="0" distL="0" distR="0">
            <wp:extent cx="4572000" cy="2743200"/>
            <wp:effectExtent l="19050" t="0" r="19050" b="0"/>
            <wp:docPr id="129"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134024" w:rsidRPr="00CB4794" w:rsidRDefault="00134024" w:rsidP="00134024">
      <w:pPr>
        <w:contextualSpacing/>
        <w:rPr>
          <w:b/>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ind w:firstLine="708"/>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rPr>
          <w:sz w:val="18"/>
          <w:szCs w:val="18"/>
        </w:rPr>
      </w:pPr>
    </w:p>
    <w:p w:rsidR="00134024" w:rsidRPr="00CB4794" w:rsidRDefault="00134024" w:rsidP="00134024">
      <w:pPr>
        <w:contextualSpacing/>
        <w:jc w:val="center"/>
        <w:rPr>
          <w:b/>
        </w:rPr>
      </w:pPr>
      <w:r w:rsidRPr="00CB4794">
        <w:rPr>
          <w:b/>
        </w:rPr>
        <w:t>GRAFICO N°65</w:t>
      </w:r>
    </w:p>
    <w:p w:rsidR="00134024" w:rsidRPr="00CB4794" w:rsidRDefault="00134024" w:rsidP="00134024">
      <w:pPr>
        <w:contextualSpacing/>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572000" cy="2743200"/>
            <wp:effectExtent l="19050" t="0" r="19050" b="0"/>
            <wp:docPr id="130"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rPr>
        <w:t>GRAFICO N°66</w:t>
      </w:r>
    </w:p>
    <w:p w:rsidR="00134024" w:rsidRPr="00CB4794" w:rsidRDefault="00134024" w:rsidP="00134024">
      <w:pPr>
        <w:contextualSpacing/>
        <w:jc w:val="center"/>
        <w:rPr>
          <w:b/>
        </w:rPr>
      </w:pPr>
    </w:p>
    <w:p w:rsidR="00134024" w:rsidRPr="00CB4794" w:rsidRDefault="00134024" w:rsidP="00134024">
      <w:pPr>
        <w:contextualSpacing/>
        <w:jc w:val="center"/>
        <w:rPr>
          <w:b/>
        </w:rPr>
      </w:pPr>
      <w:r w:rsidRPr="00CB4794">
        <w:rPr>
          <w:b/>
          <w:noProof/>
          <w:lang w:val="es-EC" w:eastAsia="es-EC"/>
        </w:rPr>
        <w:drawing>
          <wp:inline distT="0" distB="0" distL="0" distR="0">
            <wp:extent cx="4572000" cy="2743200"/>
            <wp:effectExtent l="19050" t="0" r="19050" b="0"/>
            <wp:docPr id="131"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134024" w:rsidRPr="00CB4794" w:rsidRDefault="00134024" w:rsidP="00134024">
      <w:pPr>
        <w:contextualSpacing/>
        <w:jc w:val="center"/>
        <w:rPr>
          <w:b/>
        </w:rPr>
      </w:pPr>
    </w:p>
    <w:p w:rsidR="00134024" w:rsidRPr="00CB4794" w:rsidRDefault="00134024" w:rsidP="00134024">
      <w:pPr>
        <w:contextualSpacing/>
        <w:rPr>
          <w:sz w:val="20"/>
          <w:szCs w:val="20"/>
        </w:rPr>
      </w:pPr>
      <w:r w:rsidRPr="00CB4794">
        <w:rPr>
          <w:b/>
          <w:sz w:val="20"/>
          <w:szCs w:val="20"/>
        </w:rPr>
        <w:t>FUENTE:</w:t>
      </w:r>
      <w:r w:rsidRPr="00CB4794">
        <w:rPr>
          <w:sz w:val="20"/>
          <w:szCs w:val="20"/>
        </w:rPr>
        <w:t xml:space="preserve"> Superintendencia de Compañías</w:t>
      </w:r>
    </w:p>
    <w:p w:rsidR="00134024" w:rsidRPr="00CB4794" w:rsidRDefault="00134024" w:rsidP="00134024">
      <w:pPr>
        <w:contextualSpacing/>
        <w:rPr>
          <w:sz w:val="20"/>
          <w:szCs w:val="20"/>
        </w:rPr>
      </w:pPr>
      <w:r w:rsidRPr="00CB4794">
        <w:rPr>
          <w:b/>
          <w:sz w:val="20"/>
          <w:szCs w:val="20"/>
        </w:rPr>
        <w:t xml:space="preserve">                ELABORACIÓN: </w:t>
      </w:r>
      <w:r w:rsidRPr="00CB4794">
        <w:rPr>
          <w:sz w:val="20"/>
          <w:szCs w:val="20"/>
        </w:rPr>
        <w:t>Instituto de Salud Pública-PUCE</w:t>
      </w:r>
    </w:p>
    <w:p w:rsidR="00134024" w:rsidRPr="00CB4794" w:rsidRDefault="00134024" w:rsidP="00134024">
      <w:pPr>
        <w:ind w:firstLine="708"/>
        <w:contextualSpacing/>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134024" w:rsidRPr="00CB4794" w:rsidRDefault="00134024" w:rsidP="00134024">
      <w:pPr>
        <w:contextualSpacing/>
        <w:jc w:val="center"/>
        <w:rPr>
          <w:b/>
        </w:rPr>
      </w:pPr>
    </w:p>
    <w:p w:rsidR="00B41CAA" w:rsidRDefault="00B41CAA"/>
    <w:p w:rsidR="00EC7166" w:rsidRPr="00134DEB" w:rsidRDefault="00EC7166" w:rsidP="00134DEB"/>
    <w:p w:rsidR="00EC7166" w:rsidRPr="00134DEB" w:rsidRDefault="00EC7166" w:rsidP="00134DEB"/>
    <w:p w:rsidR="00EC7166" w:rsidRPr="00134DEB" w:rsidRDefault="00EC7166" w:rsidP="00134DEB">
      <w:pPr>
        <w:rPr>
          <w:b/>
        </w:rPr>
      </w:pPr>
      <w:r w:rsidRPr="00134DEB">
        <w:rPr>
          <w:b/>
        </w:rPr>
        <w:t>Referencias bibliográficas</w:t>
      </w:r>
    </w:p>
    <w:p w:rsidR="00EC7166" w:rsidRPr="00134DEB" w:rsidRDefault="00EC7166" w:rsidP="00134DEB">
      <w:pPr>
        <w:rPr>
          <w:szCs w:val="20"/>
        </w:rPr>
      </w:pPr>
    </w:p>
    <w:p w:rsidR="00EC7166" w:rsidRPr="00134DEB" w:rsidRDefault="00EC7166" w:rsidP="00134DEB">
      <w:pPr>
        <w:pStyle w:val="Textonotapie"/>
        <w:jc w:val="both"/>
        <w:rPr>
          <w:sz w:val="24"/>
        </w:rPr>
      </w:pPr>
      <w:r w:rsidRPr="00134DEB">
        <w:rPr>
          <w:b/>
          <w:sz w:val="24"/>
        </w:rPr>
        <w:t>Báez, René</w:t>
      </w:r>
      <w:r w:rsidRPr="00134DEB">
        <w:rPr>
          <w:sz w:val="24"/>
        </w:rPr>
        <w:t xml:space="preserve">: </w:t>
      </w:r>
      <w:r w:rsidRPr="00134DEB">
        <w:rPr>
          <w:i/>
          <w:sz w:val="24"/>
        </w:rPr>
        <w:t>El desembarco invisible</w:t>
      </w:r>
      <w:r w:rsidRPr="00134DEB">
        <w:rPr>
          <w:sz w:val="24"/>
        </w:rPr>
        <w:t>. Revista electrónica ALAI (www.alainet.org)</w:t>
      </w:r>
    </w:p>
    <w:p w:rsidR="00EC7166" w:rsidRPr="00134DEB" w:rsidRDefault="00EC7166" w:rsidP="00134DEB">
      <w:pPr>
        <w:rPr>
          <w:szCs w:val="18"/>
        </w:rPr>
      </w:pPr>
      <w:r w:rsidRPr="00134DEB">
        <w:rPr>
          <w:b/>
          <w:szCs w:val="18"/>
        </w:rPr>
        <w:t>Banco Interamericano de Desarrollo, BID</w:t>
      </w:r>
      <w:r w:rsidRPr="00134DEB">
        <w:rPr>
          <w:szCs w:val="18"/>
        </w:rPr>
        <w:t xml:space="preserve">: </w:t>
      </w:r>
      <w:r w:rsidRPr="00134DEB">
        <w:rPr>
          <w:i/>
          <w:szCs w:val="18"/>
        </w:rPr>
        <w:t>Ecuador. Programa Sectorial Agropecuario (PSA)</w:t>
      </w:r>
      <w:r w:rsidRPr="00134DEB">
        <w:rPr>
          <w:szCs w:val="18"/>
        </w:rPr>
        <w:t xml:space="preserve"> Propuesta de Préstamo Sectorial (Ec-0048). Documento no autorizado para uso público.</w:t>
      </w:r>
    </w:p>
    <w:p w:rsidR="00EC7166" w:rsidRPr="00134DEB" w:rsidRDefault="00EC7166" w:rsidP="00134DEB">
      <w:pPr>
        <w:rPr>
          <w:szCs w:val="20"/>
        </w:rPr>
      </w:pPr>
      <w:r w:rsidRPr="00134DEB">
        <w:rPr>
          <w:b/>
          <w:szCs w:val="20"/>
        </w:rPr>
        <w:t>Banco Mundial</w:t>
      </w:r>
      <w:r w:rsidRPr="00134DEB">
        <w:rPr>
          <w:szCs w:val="20"/>
        </w:rPr>
        <w:t xml:space="preserve">, </w:t>
      </w:r>
      <w:r w:rsidRPr="00134DEB">
        <w:rPr>
          <w:i/>
          <w:szCs w:val="20"/>
        </w:rPr>
        <w:t>CAS-2003</w:t>
      </w:r>
      <w:r w:rsidRPr="00134DEB">
        <w:rPr>
          <w:szCs w:val="20"/>
        </w:rPr>
        <w:t xml:space="preserve">, </w:t>
      </w:r>
      <w:hyperlink r:id="rId136" w:history="1">
        <w:r w:rsidRPr="00134DEB">
          <w:rPr>
            <w:rStyle w:val="Hipervnculo"/>
            <w:szCs w:val="20"/>
          </w:rPr>
          <w:t>www.wb.org/ecuador/proyectos</w:t>
        </w:r>
      </w:hyperlink>
    </w:p>
    <w:p w:rsidR="00EC7166" w:rsidRPr="00134DEB" w:rsidRDefault="00EC7166" w:rsidP="00134DEB">
      <w:pPr>
        <w:pStyle w:val="Textonotapie"/>
        <w:jc w:val="both"/>
        <w:rPr>
          <w:sz w:val="24"/>
        </w:rPr>
      </w:pPr>
      <w:r w:rsidRPr="00134DEB">
        <w:rPr>
          <w:b/>
          <w:sz w:val="24"/>
        </w:rPr>
        <w:t>Banco Mundial</w:t>
      </w:r>
      <w:r w:rsidRPr="00134DEB">
        <w:rPr>
          <w:sz w:val="24"/>
        </w:rPr>
        <w:t>, Estrategia de Asistencia País, abril 2003, Informe No. 25817 EC.</w:t>
      </w:r>
    </w:p>
    <w:p w:rsidR="00EC7166" w:rsidRPr="00134DEB" w:rsidRDefault="00EC7166" w:rsidP="00134DEB">
      <w:pPr>
        <w:rPr>
          <w:szCs w:val="20"/>
        </w:rPr>
      </w:pPr>
      <w:r w:rsidRPr="00134DEB">
        <w:rPr>
          <w:b/>
          <w:szCs w:val="20"/>
        </w:rPr>
        <w:t>Banco Mundial</w:t>
      </w:r>
      <w:r w:rsidRPr="00134DEB">
        <w:rPr>
          <w:szCs w:val="20"/>
        </w:rPr>
        <w:t xml:space="preserve">: </w:t>
      </w:r>
      <w:r w:rsidRPr="00134DEB">
        <w:rPr>
          <w:i/>
          <w:szCs w:val="20"/>
        </w:rPr>
        <w:t>Estrategia Asistencia País para los Estados Unidos Mexicanos</w:t>
      </w:r>
      <w:r w:rsidRPr="00134DEB">
        <w:rPr>
          <w:szCs w:val="20"/>
        </w:rPr>
        <w:t>, 23 de abril de 2002</w:t>
      </w:r>
    </w:p>
    <w:p w:rsidR="00EC7166" w:rsidRPr="00134DEB" w:rsidRDefault="00EC7166" w:rsidP="00134DEB">
      <w:pPr>
        <w:rPr>
          <w:szCs w:val="20"/>
        </w:rPr>
      </w:pPr>
      <w:r w:rsidRPr="00134DEB">
        <w:rPr>
          <w:b/>
          <w:szCs w:val="20"/>
        </w:rPr>
        <w:t>Banco Mundial</w:t>
      </w:r>
      <w:r w:rsidRPr="00134DEB">
        <w:rPr>
          <w:szCs w:val="20"/>
        </w:rPr>
        <w:t xml:space="preserve">: </w:t>
      </w:r>
      <w:r w:rsidRPr="00134DEB">
        <w:rPr>
          <w:i/>
          <w:szCs w:val="20"/>
        </w:rPr>
        <w:t>Estrategia de Alianza con el País para la República del Perú</w:t>
      </w:r>
      <w:r w:rsidRPr="00134DEB">
        <w:rPr>
          <w:szCs w:val="20"/>
        </w:rPr>
        <w:t xml:space="preserve">. 2007-2011. </w:t>
      </w:r>
      <w:r w:rsidRPr="00134DEB">
        <w:rPr>
          <w:bCs/>
          <w:szCs w:val="20"/>
        </w:rPr>
        <w:t>Informe No. PE-37913, 19 de diciembre de 2006</w:t>
      </w:r>
    </w:p>
    <w:p w:rsidR="00EC7166" w:rsidRPr="00134DEB" w:rsidRDefault="00EC7166" w:rsidP="00134DEB">
      <w:pPr>
        <w:rPr>
          <w:szCs w:val="20"/>
        </w:rPr>
      </w:pPr>
      <w:r w:rsidRPr="00134DEB">
        <w:rPr>
          <w:b/>
          <w:szCs w:val="20"/>
        </w:rPr>
        <w:t>Banco Mundial</w:t>
      </w:r>
      <w:r w:rsidRPr="00134DEB">
        <w:rPr>
          <w:szCs w:val="20"/>
        </w:rPr>
        <w:t xml:space="preserve">: </w:t>
      </w:r>
      <w:r w:rsidRPr="00134DEB">
        <w:rPr>
          <w:i/>
          <w:szCs w:val="20"/>
        </w:rPr>
        <w:t>Estrategia de Alianza con la República del Paraguay 2009-2013</w:t>
      </w:r>
      <w:r w:rsidRPr="00134DEB">
        <w:rPr>
          <w:szCs w:val="20"/>
        </w:rPr>
        <w:t>, 7 de abril de 2009</w:t>
      </w:r>
    </w:p>
    <w:p w:rsidR="00EC7166" w:rsidRPr="00134DEB" w:rsidRDefault="00EC7166" w:rsidP="00134DEB">
      <w:pPr>
        <w:rPr>
          <w:bCs/>
          <w:szCs w:val="20"/>
        </w:rPr>
      </w:pPr>
      <w:r w:rsidRPr="00134DEB">
        <w:rPr>
          <w:b/>
          <w:bCs/>
          <w:szCs w:val="20"/>
        </w:rPr>
        <w:t>Banco Mundial</w:t>
      </w:r>
      <w:r w:rsidRPr="00134DEB">
        <w:rPr>
          <w:bCs/>
          <w:szCs w:val="20"/>
        </w:rPr>
        <w:t xml:space="preserve">: </w:t>
      </w:r>
      <w:r w:rsidRPr="00134DEB">
        <w:rPr>
          <w:bCs/>
          <w:i/>
          <w:szCs w:val="20"/>
        </w:rPr>
        <w:t>Estrategia de Asistencia del Banco Mundial al Estado Plurinacional de Bolivia,</w:t>
      </w:r>
      <w:r w:rsidRPr="00134DEB">
        <w:rPr>
          <w:bCs/>
          <w:szCs w:val="20"/>
        </w:rPr>
        <w:t xml:space="preserve"> 2010-2011. Bolivia, 2009</w:t>
      </w:r>
    </w:p>
    <w:p w:rsidR="00EC7166" w:rsidRPr="00134DEB" w:rsidRDefault="00EC7166" w:rsidP="00134DEB">
      <w:pPr>
        <w:rPr>
          <w:iCs/>
          <w:szCs w:val="20"/>
        </w:rPr>
      </w:pPr>
      <w:r w:rsidRPr="00134DEB">
        <w:rPr>
          <w:b/>
          <w:iCs/>
          <w:szCs w:val="20"/>
        </w:rPr>
        <w:t>Banco Mundial</w:t>
      </w:r>
      <w:r w:rsidRPr="00134DEB">
        <w:rPr>
          <w:iCs/>
          <w:szCs w:val="20"/>
        </w:rPr>
        <w:t>, 1998 (En: El Desarrollo y los Derechos Humanos - El Papel del Banco Mundial)  En: Voces para un diálogo de Futuro. El debate sobre el desarrollo sostenible en América Latina. Guerrero, Eduardo; Velasco, Ana María et Maldonado Gabriela Editores. UICN Sur. Oficina Regional para América del Su &amp; FEU. 2003</w:t>
      </w:r>
    </w:p>
    <w:p w:rsidR="00EC7166" w:rsidRPr="00134DEB" w:rsidRDefault="00EC7166" w:rsidP="00134DEB">
      <w:pPr>
        <w:rPr>
          <w:szCs w:val="20"/>
          <w:lang w:val="en-GB"/>
        </w:rPr>
      </w:pPr>
      <w:r w:rsidRPr="00134DEB">
        <w:rPr>
          <w:b/>
          <w:szCs w:val="20"/>
          <w:lang w:val="en-GB"/>
        </w:rPr>
        <w:t>Becker, Gary</w:t>
      </w:r>
      <w:r w:rsidRPr="00134DEB">
        <w:rPr>
          <w:szCs w:val="20"/>
          <w:lang w:val="en-GB"/>
        </w:rPr>
        <w:t xml:space="preserve">: </w:t>
      </w:r>
      <w:r w:rsidRPr="00134DEB">
        <w:rPr>
          <w:i/>
          <w:szCs w:val="20"/>
          <w:lang w:val="en-GB"/>
        </w:rPr>
        <w:t>The Economic Approach to Human Behavior</w:t>
      </w:r>
      <w:r w:rsidRPr="00134DEB">
        <w:rPr>
          <w:szCs w:val="20"/>
          <w:lang w:val="en-GB"/>
        </w:rPr>
        <w:t>. En: The Essence of Becker, Ed. Febrero, Ramón y Schwartz Pedro. Hoover Institution, Stanford University, Hoover Institution Pres Publication No. 426, 1995</w:t>
      </w:r>
    </w:p>
    <w:p w:rsidR="00EC7166" w:rsidRPr="00134DEB" w:rsidRDefault="00EC7166" w:rsidP="00134DEB">
      <w:pPr>
        <w:rPr>
          <w:szCs w:val="20"/>
        </w:rPr>
      </w:pPr>
      <w:r w:rsidRPr="00134DEB">
        <w:rPr>
          <w:b/>
          <w:szCs w:val="20"/>
        </w:rPr>
        <w:t>Bresser Pereira, Luiz C</w:t>
      </w:r>
      <w:r w:rsidRPr="00134DEB">
        <w:rPr>
          <w:szCs w:val="20"/>
        </w:rPr>
        <w:t xml:space="preserve">. </w:t>
      </w:r>
      <w:r w:rsidRPr="00134DEB">
        <w:rPr>
          <w:i/>
          <w:szCs w:val="20"/>
        </w:rPr>
        <w:t>La reforma del Estado de los años 90. Lógica y mecanismos de control</w:t>
      </w:r>
      <w:r w:rsidRPr="00134DEB">
        <w:rPr>
          <w:szCs w:val="20"/>
        </w:rPr>
        <w:t>. Desarrollo Económico, Revista de Ciencias Sociales Vol. 38, Nº 150, julio-septiembre de 1998</w:t>
      </w:r>
    </w:p>
    <w:p w:rsidR="00EC7166" w:rsidRPr="00134DEB" w:rsidRDefault="00EC7166" w:rsidP="00134DEB">
      <w:pPr>
        <w:rPr>
          <w:szCs w:val="20"/>
        </w:rPr>
      </w:pPr>
      <w:r w:rsidRPr="00134DEB">
        <w:rPr>
          <w:b/>
          <w:szCs w:val="20"/>
        </w:rPr>
        <w:t>Bretón Solo de Zaldívar, Víctor</w:t>
      </w:r>
      <w:r w:rsidRPr="00134DEB">
        <w:rPr>
          <w:szCs w:val="20"/>
        </w:rPr>
        <w:t xml:space="preserve">: </w:t>
      </w:r>
      <w:r w:rsidRPr="00134DEB">
        <w:rPr>
          <w:i/>
          <w:szCs w:val="20"/>
        </w:rPr>
        <w:t>Cooperación al desarrollo y demandas étnicas en los Andes Ecuatorianos. Ensayo sobre indigenismo, desarrollo rural y neoindigenismo</w:t>
      </w:r>
      <w:r w:rsidRPr="00134DEB">
        <w:rPr>
          <w:szCs w:val="20"/>
        </w:rPr>
        <w:t>, Ed. FLACSO-Ecuador, 2001</w:t>
      </w:r>
    </w:p>
    <w:p w:rsidR="00EC7166" w:rsidRPr="00134DEB" w:rsidRDefault="00EC7166" w:rsidP="00134DEB">
      <w:pPr>
        <w:rPr>
          <w:szCs w:val="20"/>
        </w:rPr>
      </w:pPr>
      <w:r w:rsidRPr="00134DEB">
        <w:rPr>
          <w:b/>
          <w:szCs w:val="20"/>
        </w:rPr>
        <w:t>Calderón, Juan Carlos</w:t>
      </w:r>
      <w:r w:rsidRPr="00134DEB">
        <w:rPr>
          <w:szCs w:val="20"/>
        </w:rPr>
        <w:t xml:space="preserve">: </w:t>
      </w:r>
      <w:r w:rsidRPr="00134DEB">
        <w:rPr>
          <w:i/>
          <w:szCs w:val="20"/>
        </w:rPr>
        <w:t>Muerte en el Pacífico</w:t>
      </w:r>
      <w:r w:rsidRPr="00134DEB">
        <w:rPr>
          <w:szCs w:val="20"/>
        </w:rPr>
        <w:t>. Ed. Planeta, Quito, 2007</w:t>
      </w:r>
    </w:p>
    <w:p w:rsidR="00EC7166" w:rsidRPr="00134DEB" w:rsidRDefault="00EC7166" w:rsidP="00134DEB">
      <w:pPr>
        <w:rPr>
          <w:szCs w:val="20"/>
        </w:rPr>
      </w:pPr>
      <w:r w:rsidRPr="00134DEB">
        <w:rPr>
          <w:b/>
          <w:szCs w:val="20"/>
        </w:rPr>
        <w:t>Comisión para la Auditoría Integral del Crédito Público</w:t>
      </w:r>
      <w:r w:rsidRPr="00134DEB">
        <w:rPr>
          <w:szCs w:val="20"/>
        </w:rPr>
        <w:t>, CIAC, Informe Final, Resumen ejecutivo, Ecuador, 2008</w:t>
      </w:r>
    </w:p>
    <w:p w:rsidR="00EC7166" w:rsidRPr="00134DEB" w:rsidRDefault="00EC7166" w:rsidP="00134DEB">
      <w:pPr>
        <w:rPr>
          <w:szCs w:val="20"/>
        </w:rPr>
      </w:pPr>
      <w:r w:rsidRPr="00134DEB">
        <w:rPr>
          <w:b/>
          <w:szCs w:val="20"/>
        </w:rPr>
        <w:t>Dávalos Pablo</w:t>
      </w:r>
      <w:r w:rsidRPr="00134DEB">
        <w:rPr>
          <w:szCs w:val="20"/>
        </w:rPr>
        <w:t xml:space="preserve">: </w:t>
      </w:r>
      <w:r w:rsidRPr="00134DEB">
        <w:rPr>
          <w:i/>
          <w:szCs w:val="20"/>
        </w:rPr>
        <w:t>La Democracia Disciplinaria</w:t>
      </w:r>
      <w:r w:rsidRPr="00134DEB">
        <w:rPr>
          <w:szCs w:val="20"/>
        </w:rPr>
        <w:t>. CODEU-PUCE, Quito, septiembre 2010.</w:t>
      </w:r>
    </w:p>
    <w:p w:rsidR="00EC7166" w:rsidRPr="00134DEB" w:rsidRDefault="00EC7166" w:rsidP="00134DEB">
      <w:pPr>
        <w:rPr>
          <w:szCs w:val="20"/>
        </w:rPr>
      </w:pPr>
      <w:r w:rsidRPr="00134DEB">
        <w:rPr>
          <w:b/>
          <w:szCs w:val="20"/>
        </w:rPr>
        <w:t>Gunder Frank, André</w:t>
      </w:r>
      <w:r w:rsidRPr="00134DEB">
        <w:rPr>
          <w:szCs w:val="20"/>
        </w:rPr>
        <w:t xml:space="preserve">: </w:t>
      </w:r>
      <w:r w:rsidRPr="00134DEB">
        <w:rPr>
          <w:i/>
          <w:szCs w:val="20"/>
        </w:rPr>
        <w:t>Lumpenburguesía, lumpendesarrollo</w:t>
      </w:r>
      <w:r w:rsidRPr="00134DEB">
        <w:rPr>
          <w:szCs w:val="20"/>
        </w:rPr>
        <w:t>. Ed. ERA, México, 1968</w:t>
      </w:r>
    </w:p>
    <w:p w:rsidR="00EC7166" w:rsidRPr="00134DEB" w:rsidRDefault="00EC7166" w:rsidP="00134DEB">
      <w:pPr>
        <w:rPr>
          <w:szCs w:val="20"/>
        </w:rPr>
      </w:pPr>
      <w:r w:rsidRPr="00134DEB">
        <w:rPr>
          <w:b/>
          <w:szCs w:val="20"/>
        </w:rPr>
        <w:t>March, James y Olsen, Johan</w:t>
      </w:r>
      <w:r w:rsidRPr="00134DEB">
        <w:rPr>
          <w:szCs w:val="20"/>
        </w:rPr>
        <w:t xml:space="preserve">: </w:t>
      </w:r>
      <w:r w:rsidRPr="00134DEB">
        <w:rPr>
          <w:i/>
          <w:szCs w:val="20"/>
        </w:rPr>
        <w:t>El redescubrimiento de las instituciones. La base organizativa de la política.</w:t>
      </w:r>
      <w:r w:rsidRPr="00134DEB">
        <w:rPr>
          <w:szCs w:val="20"/>
        </w:rPr>
        <w:t xml:space="preserve"> FCE, México, 1997.</w:t>
      </w:r>
    </w:p>
    <w:p w:rsidR="00EC7166" w:rsidRPr="00134DEB" w:rsidRDefault="00EC7166" w:rsidP="00134DEB">
      <w:pPr>
        <w:rPr>
          <w:szCs w:val="20"/>
        </w:rPr>
      </w:pPr>
      <w:r w:rsidRPr="00134DEB">
        <w:rPr>
          <w:b/>
          <w:szCs w:val="20"/>
        </w:rPr>
        <w:t>Mato, Daniel</w:t>
      </w:r>
      <w:r w:rsidRPr="00134DEB">
        <w:rPr>
          <w:szCs w:val="20"/>
        </w:rPr>
        <w:t xml:space="preserve">: THINK TANKS, fundaciones y profesionales en la promoción de ideas (neo)liberales en América Latina. En: </w:t>
      </w:r>
      <w:r w:rsidRPr="00134DEB">
        <w:rPr>
          <w:b/>
          <w:szCs w:val="20"/>
        </w:rPr>
        <w:t>Grimson, Alejandro</w:t>
      </w:r>
      <w:r w:rsidRPr="00134DEB">
        <w:rPr>
          <w:szCs w:val="20"/>
        </w:rPr>
        <w:t xml:space="preserve">. </w:t>
      </w:r>
      <w:r w:rsidRPr="00134DEB">
        <w:rPr>
          <w:b/>
          <w:bCs/>
          <w:szCs w:val="20"/>
        </w:rPr>
        <w:t>(Comp.)</w:t>
      </w:r>
      <w:r w:rsidRPr="00134DEB">
        <w:rPr>
          <w:i/>
          <w:iCs/>
          <w:szCs w:val="20"/>
        </w:rPr>
        <w:t>: Cultura y Neoliberalismo</w:t>
      </w:r>
      <w:r w:rsidRPr="00134DEB">
        <w:rPr>
          <w:szCs w:val="20"/>
        </w:rPr>
        <w:t>. CLACSO, Consejo Latinoamericano de Ciencias Sociales, Buenos Aires. 2007</w:t>
      </w:r>
    </w:p>
    <w:p w:rsidR="00EC7166" w:rsidRPr="00134DEB" w:rsidRDefault="00EC7166" w:rsidP="00134DEB">
      <w:pPr>
        <w:rPr>
          <w:szCs w:val="20"/>
        </w:rPr>
      </w:pPr>
      <w:r w:rsidRPr="00134DEB">
        <w:rPr>
          <w:b/>
          <w:szCs w:val="20"/>
        </w:rPr>
        <w:t>North, Douglass</w:t>
      </w:r>
      <w:r w:rsidRPr="00134DEB">
        <w:rPr>
          <w:i/>
          <w:szCs w:val="20"/>
        </w:rPr>
        <w:t>: Instituciones, cambio institucional y desempeño económico</w:t>
      </w:r>
      <w:r w:rsidRPr="00134DEB">
        <w:rPr>
          <w:szCs w:val="20"/>
        </w:rPr>
        <w:t>. FCE, México, 2006</w:t>
      </w:r>
    </w:p>
    <w:p w:rsidR="00EC7166" w:rsidRPr="00134DEB" w:rsidRDefault="00EC7166" w:rsidP="00134DEB">
      <w:pPr>
        <w:rPr>
          <w:szCs w:val="20"/>
        </w:rPr>
      </w:pPr>
      <w:r w:rsidRPr="00134DEB">
        <w:rPr>
          <w:b/>
          <w:szCs w:val="20"/>
        </w:rPr>
        <w:t>Ostrom, Elinor</w:t>
      </w:r>
      <w:r w:rsidRPr="00134DEB">
        <w:rPr>
          <w:szCs w:val="20"/>
        </w:rPr>
        <w:t xml:space="preserve">: </w:t>
      </w:r>
      <w:r w:rsidRPr="00134DEB">
        <w:rPr>
          <w:i/>
          <w:szCs w:val="20"/>
        </w:rPr>
        <w:t>Governing the Commons. The evolution of Institutions for Collective Action.</w:t>
      </w:r>
      <w:r w:rsidRPr="00134DEB">
        <w:rPr>
          <w:szCs w:val="20"/>
        </w:rPr>
        <w:t xml:space="preserve"> Cambridge University Press, Cambridge,1990</w:t>
      </w:r>
    </w:p>
    <w:p w:rsidR="00EC7166" w:rsidRPr="00134DEB" w:rsidRDefault="00EC7166" w:rsidP="00134DEB">
      <w:pPr>
        <w:rPr>
          <w:szCs w:val="20"/>
        </w:rPr>
      </w:pPr>
      <w:r w:rsidRPr="00134DEB">
        <w:rPr>
          <w:b/>
          <w:szCs w:val="20"/>
        </w:rPr>
        <w:t>Ramos, Ivonne y Bonilla, Nathalia</w:t>
      </w:r>
      <w:r w:rsidRPr="00134DEB">
        <w:rPr>
          <w:szCs w:val="20"/>
        </w:rPr>
        <w:t xml:space="preserve">: </w:t>
      </w:r>
      <w:r w:rsidRPr="00134DEB">
        <w:rPr>
          <w:bCs/>
          <w:i/>
          <w:szCs w:val="20"/>
        </w:rPr>
        <w:t>Mujeres, comunidades y plantaciones en Ecuador</w:t>
      </w:r>
      <w:r w:rsidRPr="00134DEB">
        <w:rPr>
          <w:i/>
          <w:szCs w:val="20"/>
        </w:rPr>
        <w:t>Testimonios sobre un modelo forestalsocial y ambientalmente destructivo</w:t>
      </w:r>
      <w:r w:rsidRPr="00134DEB">
        <w:rPr>
          <w:szCs w:val="20"/>
        </w:rPr>
        <w:t>. Colección del WRM sobre plantaciones No. 12, Ecuador,  Octubre 2008</w:t>
      </w:r>
    </w:p>
    <w:p w:rsidR="00EC7166" w:rsidRPr="00134DEB" w:rsidRDefault="00EC7166" w:rsidP="00134DEB">
      <w:pPr>
        <w:rPr>
          <w:szCs w:val="20"/>
        </w:rPr>
      </w:pPr>
      <w:r w:rsidRPr="00134DEB">
        <w:rPr>
          <w:b/>
          <w:szCs w:val="20"/>
        </w:rPr>
        <w:t>Terán, Juan Fernando</w:t>
      </w:r>
      <w:r w:rsidRPr="00134DEB">
        <w:rPr>
          <w:szCs w:val="20"/>
        </w:rPr>
        <w:t xml:space="preserve">: </w:t>
      </w:r>
      <w:r w:rsidRPr="00134DEB">
        <w:rPr>
          <w:i/>
          <w:szCs w:val="20"/>
        </w:rPr>
        <w:t>La infraestructura como necesidad y los pobres como pretexto. Condicionamientos multilaterales, financiamiento privado y gobiernos locales</w:t>
      </w:r>
      <w:r w:rsidRPr="00134DEB">
        <w:rPr>
          <w:szCs w:val="20"/>
        </w:rPr>
        <w:t>. Universidad Andina Simón Bolívar, sede Ecuador, Corporación Editora Nacional, Quito-Ecuador, 2007</w:t>
      </w:r>
    </w:p>
    <w:p w:rsidR="00EC7166" w:rsidRPr="00134DEB" w:rsidRDefault="00EC7166" w:rsidP="00134DEB">
      <w:pPr>
        <w:rPr>
          <w:szCs w:val="20"/>
        </w:rPr>
      </w:pPr>
      <w:r w:rsidRPr="00134DEB">
        <w:rPr>
          <w:b/>
          <w:szCs w:val="20"/>
        </w:rPr>
        <w:t>Samuels, J. W</w:t>
      </w:r>
      <w:r w:rsidRPr="00134DEB">
        <w:rPr>
          <w:szCs w:val="20"/>
        </w:rPr>
        <w:t xml:space="preserve">. : </w:t>
      </w:r>
      <w:r w:rsidRPr="00134DEB">
        <w:rPr>
          <w:i/>
          <w:szCs w:val="20"/>
        </w:rPr>
        <w:t>The present State of Institutional Economics</w:t>
      </w:r>
      <w:r w:rsidRPr="00134DEB">
        <w:rPr>
          <w:szCs w:val="20"/>
        </w:rPr>
        <w:t>. Cambridge Journal of Economics, Vol. 19, Núm. 4, agosto de 1995, pps. 569-590</w:t>
      </w:r>
    </w:p>
    <w:p w:rsidR="003B4DD8" w:rsidRDefault="003B4DD8">
      <w:r>
        <w:br w:type="page"/>
      </w:r>
    </w:p>
    <w:p w:rsidR="00EC7166" w:rsidRPr="00134DEB" w:rsidRDefault="00EC7166" w:rsidP="00134DEB"/>
    <w:sectPr w:rsidR="00EC7166" w:rsidRPr="00134DEB" w:rsidSect="00EC7166">
      <w:pgSz w:w="11906" w:h="16838"/>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349D" w:rsidRDefault="0056349D">
      <w:r>
        <w:separator/>
      </w:r>
    </w:p>
  </w:endnote>
  <w:endnote w:type="continuationSeparator" w:id="0">
    <w:p w:rsidR="0056349D" w:rsidRDefault="005634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349D" w:rsidRDefault="0056349D">
      <w:r>
        <w:separator/>
      </w:r>
    </w:p>
  </w:footnote>
  <w:footnote w:type="continuationSeparator" w:id="0">
    <w:p w:rsidR="0056349D" w:rsidRDefault="0056349D">
      <w:r>
        <w:continuationSeparator/>
      </w:r>
    </w:p>
  </w:footnote>
  <w:footnote w:id="1">
    <w:p w:rsidR="00B41CAA" w:rsidRPr="00882417" w:rsidRDefault="00B41CAA" w:rsidP="00134DEB">
      <w:pPr>
        <w:pStyle w:val="Textonotapie"/>
        <w:jc w:val="both"/>
        <w:rPr>
          <w:sz w:val="18"/>
          <w:szCs w:val="18"/>
        </w:rPr>
      </w:pPr>
      <w:r w:rsidRPr="00882417">
        <w:rPr>
          <w:rStyle w:val="Refdenotaalpie"/>
          <w:sz w:val="18"/>
          <w:szCs w:val="18"/>
        </w:rPr>
        <w:footnoteRef/>
      </w:r>
      <w:r w:rsidRPr="00882417">
        <w:rPr>
          <w:sz w:val="18"/>
          <w:szCs w:val="18"/>
        </w:rPr>
        <w:t xml:space="preserve"> Solo para tener una idea del impacto del ajuste y de la transferencia neta de capitales en los primeros momentos del ajuste: “La transferencia neta de recursos en el periodo 1982-1985 ha superado los US $ 100 mil millones. Ningún país en desarrollo (incluyendo a cualquiera de los actualmente industrializados) había producido semejantes transferencias de capital en el pasado” </w:t>
      </w:r>
      <w:r w:rsidRPr="00882417">
        <w:rPr>
          <w:b/>
          <w:sz w:val="18"/>
          <w:szCs w:val="18"/>
        </w:rPr>
        <w:t>Rodríguez Mendoza, Miguel y Rodríguez F</w:t>
      </w:r>
      <w:r>
        <w:rPr>
          <w:sz w:val="18"/>
          <w:szCs w:val="18"/>
        </w:rPr>
        <w:t>.</w:t>
      </w:r>
      <w:r w:rsidRPr="00882417">
        <w:rPr>
          <w:sz w:val="18"/>
          <w:szCs w:val="18"/>
        </w:rPr>
        <w:t xml:space="preserve">: </w:t>
      </w:r>
      <w:r w:rsidRPr="00882417">
        <w:rPr>
          <w:i/>
          <w:sz w:val="18"/>
          <w:szCs w:val="18"/>
        </w:rPr>
        <w:t>Desarrollo económico y financiamiento externo en América Latina</w:t>
      </w:r>
      <w:r w:rsidRPr="00882417">
        <w:rPr>
          <w:sz w:val="18"/>
          <w:szCs w:val="18"/>
        </w:rPr>
        <w:t>. En: Políticas de Ajuste. Financiamiento del desarrollo en América Latina. SELA- Ed. Nueva Sociedad, Venezuela</w:t>
      </w:r>
      <w:r>
        <w:rPr>
          <w:sz w:val="18"/>
          <w:szCs w:val="18"/>
        </w:rPr>
        <w:t xml:space="preserve">, 1987 </w:t>
      </w:r>
      <w:r w:rsidRPr="00882417">
        <w:rPr>
          <w:sz w:val="18"/>
          <w:szCs w:val="18"/>
        </w:rPr>
        <w:t xml:space="preserve">pp. 16. Para fines de la década de los noventa, la transferencia neta de capitales de América Latina hacia los mercados de capital, se calculaba sobre el billón de dólares, Cf.: </w:t>
      </w:r>
      <w:r w:rsidRPr="00882417">
        <w:rPr>
          <w:b/>
          <w:sz w:val="18"/>
          <w:szCs w:val="18"/>
        </w:rPr>
        <w:t>Toussaint, Eric</w:t>
      </w:r>
      <w:r w:rsidRPr="00882417">
        <w:rPr>
          <w:sz w:val="18"/>
          <w:szCs w:val="18"/>
        </w:rPr>
        <w:t xml:space="preserve">: </w:t>
      </w:r>
      <w:r w:rsidRPr="00882417">
        <w:rPr>
          <w:i/>
          <w:sz w:val="18"/>
          <w:szCs w:val="18"/>
        </w:rPr>
        <w:t xml:space="preserve">La bolsa o la vida. Las finanzas contra los pueblos. </w:t>
      </w:r>
      <w:r w:rsidRPr="00882417">
        <w:rPr>
          <w:sz w:val="18"/>
          <w:szCs w:val="18"/>
        </w:rPr>
        <w:t>Comité para la Anulación de la Deuda del Tercer Mundo – CADTM, 2002.</w:t>
      </w:r>
    </w:p>
  </w:footnote>
  <w:footnote w:id="2">
    <w:p w:rsidR="00B41CAA" w:rsidRPr="00F1602A" w:rsidRDefault="00B41CAA" w:rsidP="00134DEB">
      <w:pPr>
        <w:pStyle w:val="Textonotapie"/>
        <w:rPr>
          <w:sz w:val="18"/>
          <w:szCs w:val="18"/>
        </w:rPr>
      </w:pPr>
      <w:r w:rsidRPr="00F1602A">
        <w:rPr>
          <w:rStyle w:val="Refdenotaalpie"/>
          <w:sz w:val="18"/>
          <w:szCs w:val="18"/>
        </w:rPr>
        <w:footnoteRef/>
      </w:r>
      <w:r w:rsidRPr="00F1602A">
        <w:rPr>
          <w:sz w:val="18"/>
          <w:szCs w:val="18"/>
          <w:lang w:val="en-GB"/>
        </w:rPr>
        <w:t xml:space="preserve"> Cf. </w:t>
      </w:r>
      <w:r w:rsidRPr="00F1602A">
        <w:rPr>
          <w:b/>
          <w:sz w:val="18"/>
          <w:szCs w:val="18"/>
          <w:lang w:val="en-GB"/>
        </w:rPr>
        <w:t>Krugman, Paul et Taylor, Lance</w:t>
      </w:r>
      <w:r w:rsidRPr="00F1602A">
        <w:rPr>
          <w:sz w:val="18"/>
          <w:szCs w:val="18"/>
          <w:lang w:val="en-GB"/>
        </w:rPr>
        <w:t xml:space="preserve">: </w:t>
      </w:r>
      <w:r w:rsidRPr="00F1602A">
        <w:rPr>
          <w:i/>
          <w:sz w:val="18"/>
          <w:szCs w:val="18"/>
          <w:lang w:val="en-GB"/>
        </w:rPr>
        <w:t>Contractionary Effects of Devaluation.</w:t>
      </w:r>
      <w:r w:rsidRPr="00F1602A">
        <w:rPr>
          <w:sz w:val="18"/>
          <w:szCs w:val="18"/>
          <w:lang w:val="en-GB"/>
        </w:rPr>
        <w:t xml:space="preserve"> </w:t>
      </w:r>
      <w:r w:rsidRPr="00F1602A">
        <w:rPr>
          <w:sz w:val="18"/>
          <w:szCs w:val="18"/>
        </w:rPr>
        <w:t>Journal of International E</w:t>
      </w:r>
      <w:r>
        <w:rPr>
          <w:sz w:val="18"/>
          <w:szCs w:val="18"/>
        </w:rPr>
        <w:t>conomics. No. 8, agosto de 1978</w:t>
      </w:r>
      <w:r w:rsidRPr="00F1602A">
        <w:rPr>
          <w:sz w:val="18"/>
          <w:szCs w:val="18"/>
        </w:rPr>
        <w:t xml:space="preserve"> pp.  445-456</w:t>
      </w:r>
    </w:p>
  </w:footnote>
  <w:footnote w:id="3">
    <w:p w:rsidR="00B41CAA" w:rsidRPr="009E01FF" w:rsidRDefault="00B41CAA" w:rsidP="00B11FF3">
      <w:pPr>
        <w:pStyle w:val="Textonotapie"/>
        <w:jc w:val="both"/>
        <w:rPr>
          <w:sz w:val="18"/>
          <w:szCs w:val="18"/>
        </w:rPr>
      </w:pPr>
      <w:r w:rsidRPr="006316CF">
        <w:rPr>
          <w:rStyle w:val="Refdenotaalpie"/>
          <w:sz w:val="18"/>
          <w:szCs w:val="18"/>
        </w:rPr>
        <w:footnoteRef/>
      </w:r>
      <w:r w:rsidRPr="009E01FF">
        <w:rPr>
          <w:sz w:val="18"/>
          <w:szCs w:val="18"/>
        </w:rPr>
        <w:t xml:space="preserve"> </w:t>
      </w:r>
      <w:r w:rsidRPr="009E01FF">
        <w:rPr>
          <w:b/>
          <w:sz w:val="18"/>
          <w:szCs w:val="18"/>
        </w:rPr>
        <w:t>Cornia, Giovanni Andrea; Jolly, Richard et Stewart, Frances</w:t>
      </w:r>
      <w:r w:rsidRPr="009E01FF">
        <w:rPr>
          <w:sz w:val="18"/>
          <w:szCs w:val="18"/>
        </w:rPr>
        <w:t xml:space="preserve">: </w:t>
      </w:r>
      <w:r w:rsidRPr="009E01FF">
        <w:rPr>
          <w:i/>
          <w:sz w:val="18"/>
          <w:szCs w:val="18"/>
        </w:rPr>
        <w:t>Ajuste con rostro humano</w:t>
      </w:r>
      <w:r w:rsidRPr="009E01FF">
        <w:rPr>
          <w:sz w:val="18"/>
          <w:szCs w:val="18"/>
        </w:rPr>
        <w:t>. Siglo XXI Editores. España, 1987</w:t>
      </w:r>
    </w:p>
  </w:footnote>
  <w:footnote w:id="4">
    <w:p w:rsidR="00B41CAA" w:rsidRPr="008B3F97" w:rsidRDefault="00B41CAA" w:rsidP="00E43A75">
      <w:pPr>
        <w:pStyle w:val="Textonotapie"/>
        <w:tabs>
          <w:tab w:val="left" w:pos="360"/>
        </w:tabs>
        <w:jc w:val="both"/>
        <w:rPr>
          <w:sz w:val="18"/>
          <w:szCs w:val="18"/>
        </w:rPr>
      </w:pPr>
      <w:r w:rsidRPr="008B3F97">
        <w:rPr>
          <w:rStyle w:val="Refdenotaalpie"/>
          <w:sz w:val="18"/>
          <w:szCs w:val="18"/>
        </w:rPr>
        <w:footnoteRef/>
      </w:r>
      <w:r w:rsidRPr="008B3F97">
        <w:rPr>
          <w:sz w:val="18"/>
          <w:szCs w:val="18"/>
        </w:rPr>
        <w:t xml:space="preserve"> Esas tropas de infantería que asaltaron al Estado serían, en primer lugar los grupos financieros y sus operadores tecno-burócratas, y, posteriormente, el Banco Mundial, las ONG’s y la cooperación in</w:t>
      </w:r>
      <w:r>
        <w:rPr>
          <w:sz w:val="18"/>
          <w:szCs w:val="18"/>
        </w:rPr>
        <w:t>ternacional al desarrollo.</w:t>
      </w:r>
    </w:p>
  </w:footnote>
  <w:footnote w:id="5">
    <w:p w:rsidR="00B41CAA" w:rsidRDefault="00B41CAA" w:rsidP="00E43A75">
      <w:pPr>
        <w:pStyle w:val="Textonotapie"/>
        <w:tabs>
          <w:tab w:val="left" w:pos="360"/>
        </w:tabs>
        <w:jc w:val="both"/>
      </w:pPr>
      <w:r w:rsidRPr="008B3F97">
        <w:rPr>
          <w:rStyle w:val="Refdenotaalpie"/>
          <w:sz w:val="18"/>
          <w:szCs w:val="18"/>
        </w:rPr>
        <w:footnoteRef/>
      </w:r>
      <w:r w:rsidRPr="008B3F97">
        <w:rPr>
          <w:sz w:val="18"/>
          <w:szCs w:val="18"/>
        </w:rPr>
        <w:t xml:space="preserve"> “…Y en ese momento invertiríamos la proposición de Clausewitz y diríamos que la política es la continuación de la guerra por otros medios. Lo cual querría decir tres cosas. En primer lugar, esto: que las relaciones de poder, tal como funcionan en una sociedad como la nuestra, tienen esencialmente por punto de anclaje cierta relación de fuerza establecida en un momento dado, históricamente identificable, en la guerra y por la guerra … En esta hipótesis, el papel del poder político sería reinscribir perpetuamente esa relación de fuerza, por medio de una especie de guerra silenciosa, y reinscribirla en las instituciones, en las desigualdades </w:t>
      </w:r>
      <w:r>
        <w:rPr>
          <w:sz w:val="18"/>
          <w:szCs w:val="18"/>
        </w:rPr>
        <w:t xml:space="preserve">económicas … “ </w:t>
      </w:r>
      <w:r w:rsidRPr="008B3F97">
        <w:rPr>
          <w:b/>
          <w:sz w:val="18"/>
          <w:szCs w:val="18"/>
        </w:rPr>
        <w:t>Foucault, Michel</w:t>
      </w:r>
      <w:r>
        <w:rPr>
          <w:sz w:val="18"/>
          <w:szCs w:val="18"/>
        </w:rPr>
        <w:t>:</w:t>
      </w:r>
      <w:r w:rsidRPr="008B3F97">
        <w:rPr>
          <w:sz w:val="18"/>
          <w:szCs w:val="18"/>
        </w:rPr>
        <w:t xml:space="preserve"> </w:t>
      </w:r>
      <w:r w:rsidRPr="008B3F97">
        <w:rPr>
          <w:i/>
          <w:sz w:val="18"/>
          <w:szCs w:val="18"/>
        </w:rPr>
        <w:t>Defender la sociedad</w:t>
      </w:r>
      <w:r w:rsidRPr="008B3F97">
        <w:rPr>
          <w:sz w:val="18"/>
          <w:szCs w:val="18"/>
        </w:rPr>
        <w:t>, FCE, Argentina, 2001, pp. 28-29</w:t>
      </w:r>
    </w:p>
  </w:footnote>
  <w:footnote w:id="6">
    <w:p w:rsidR="00B41CAA" w:rsidRPr="004B2930" w:rsidRDefault="00B41CAA" w:rsidP="00E43A75">
      <w:pPr>
        <w:pStyle w:val="Textonotapie"/>
        <w:jc w:val="both"/>
        <w:rPr>
          <w:sz w:val="18"/>
          <w:szCs w:val="18"/>
        </w:rPr>
      </w:pPr>
      <w:r w:rsidRPr="004B2930">
        <w:rPr>
          <w:rStyle w:val="Refdenotaalpie"/>
          <w:sz w:val="18"/>
          <w:szCs w:val="18"/>
        </w:rPr>
        <w:footnoteRef/>
      </w:r>
      <w:r w:rsidRPr="004B2930">
        <w:rPr>
          <w:sz w:val="18"/>
          <w:szCs w:val="18"/>
        </w:rPr>
        <w:t xml:space="preserve"> Un ejemplo de la discursividad neoliberal sobre el carácter que debe asumir la política fiscal: “Desde el punto de vista macroeconómico, dada la situación inicial de la alta deuda pública (un 60% del PIB en 2002), Ecuador debe alcanzar y mantener significativos superávit fiscales primarios que le permitan conducir su stock de la deuda por un sendero sostenible (esto es, asegurando la liquidez de corto plazo, y garantizando la solvencia del país para cumplir prontamente con el servicio de la deuda pública en el mediano plazo). Eso implica, por lo tanto, realizar ajustes para lograr superávit primarios en las cuentas fiscales estimados en alrededor de un promedio 4-5% del PIB para los próximos 5 años.” </w:t>
      </w:r>
      <w:r w:rsidRPr="004B2930">
        <w:rPr>
          <w:b/>
          <w:sz w:val="18"/>
          <w:szCs w:val="18"/>
        </w:rPr>
        <w:t>Fretes, Cibils</w:t>
      </w:r>
      <w:r>
        <w:rPr>
          <w:sz w:val="18"/>
          <w:szCs w:val="18"/>
        </w:rPr>
        <w:t xml:space="preserve"> et alt</w:t>
      </w:r>
      <w:r w:rsidRPr="004B2930">
        <w:rPr>
          <w:sz w:val="18"/>
          <w:szCs w:val="18"/>
        </w:rPr>
        <w:t xml:space="preserve">: </w:t>
      </w:r>
      <w:r w:rsidRPr="004B2930">
        <w:rPr>
          <w:i/>
          <w:sz w:val="18"/>
          <w:szCs w:val="18"/>
        </w:rPr>
        <w:t>Ecuador: Una agenda económica y social del Nuevo Milenio</w:t>
      </w:r>
      <w:r w:rsidRPr="004B2930">
        <w:rPr>
          <w:sz w:val="18"/>
          <w:szCs w:val="18"/>
        </w:rPr>
        <w:t>. Ed. Banco Mundial, Alfaomega, Colombia, 2003, pp.xl. En otras palabras, lo que el Banco Mundial dice es que el país debe ahorrar recursos púb</w:t>
      </w:r>
      <w:r>
        <w:rPr>
          <w:sz w:val="18"/>
          <w:szCs w:val="18"/>
        </w:rPr>
        <w:t>l</w:t>
      </w:r>
      <w:r w:rsidRPr="004B2930">
        <w:rPr>
          <w:sz w:val="18"/>
          <w:szCs w:val="18"/>
        </w:rPr>
        <w:t>icos (superávit fiscal primario) para garantizar el pago de la deuda externa, y la forma de ahorrar es utilizando el gasto social (salud, educación, inversión pública) como variables de ajuste.</w:t>
      </w:r>
    </w:p>
  </w:footnote>
  <w:footnote w:id="7">
    <w:p w:rsidR="00B41CAA" w:rsidRPr="00C66223" w:rsidRDefault="00B41CAA" w:rsidP="00EC7166">
      <w:pPr>
        <w:pStyle w:val="Textonotapie"/>
        <w:jc w:val="both"/>
        <w:rPr>
          <w:sz w:val="18"/>
          <w:szCs w:val="18"/>
          <w:lang w:val="en-GB"/>
        </w:rPr>
      </w:pPr>
      <w:r w:rsidRPr="00C66223">
        <w:rPr>
          <w:rStyle w:val="Refdenotaalpie"/>
          <w:sz w:val="18"/>
          <w:szCs w:val="18"/>
        </w:rPr>
        <w:footnoteRef/>
      </w:r>
      <w:r w:rsidRPr="00C66223">
        <w:rPr>
          <w:sz w:val="18"/>
          <w:szCs w:val="18"/>
        </w:rPr>
        <w:t xml:space="preserve"> Considerar al comportamiento humano no como una complejidad sino como una predecible actividad sustentada en la maximización de la utilidad de individuos racionales ha sido uno de los intentos de la economía clásica. </w:t>
      </w:r>
      <w:r w:rsidRPr="00C66223">
        <w:rPr>
          <w:sz w:val="18"/>
          <w:szCs w:val="18"/>
          <w:lang w:val="en-GB"/>
        </w:rPr>
        <w:t xml:space="preserve">Esto puede verse en la siguiente cita de Becker:  “The heart of my argument is that human behavior is not compartmentalized, sometimes base don maximizing, sometimes not, sometimes motivated by stables preferences, sometimes volatiles one, sometimes resulting in an optimal accumulation of information, sometimes not. Rather, all human behaviour can be viewed as involving participants who maximize their utility from stable set of preferences and accumulate an optimal amount of information and other inputs in a variety of markets.” </w:t>
      </w:r>
      <w:r w:rsidRPr="00636DF3">
        <w:rPr>
          <w:b/>
          <w:sz w:val="18"/>
          <w:szCs w:val="18"/>
          <w:lang w:val="en-GB"/>
        </w:rPr>
        <w:t>Becker, Gary</w:t>
      </w:r>
      <w:r w:rsidRPr="00C66223">
        <w:rPr>
          <w:sz w:val="18"/>
          <w:szCs w:val="18"/>
          <w:lang w:val="en-GB"/>
        </w:rPr>
        <w:t xml:space="preserve">: </w:t>
      </w:r>
      <w:r w:rsidRPr="00636DF3">
        <w:rPr>
          <w:i/>
          <w:sz w:val="18"/>
          <w:szCs w:val="18"/>
          <w:lang w:val="en-GB"/>
        </w:rPr>
        <w:t>The Economic Approach to Human Behavior</w:t>
      </w:r>
      <w:r w:rsidRPr="00C66223">
        <w:rPr>
          <w:sz w:val="18"/>
          <w:szCs w:val="18"/>
          <w:lang w:val="en-GB"/>
        </w:rPr>
        <w:t>. En: The Essence of Becker, Ed. Febrero, Ramón y Schwartz Pedro. Hoover Institution, Stanford University, Hoover Institution Pres Publication No. 426, 1995, pp. 13.</w:t>
      </w:r>
    </w:p>
  </w:footnote>
  <w:footnote w:id="8">
    <w:p w:rsidR="00B41CAA" w:rsidRPr="00513C49" w:rsidRDefault="00B41CAA" w:rsidP="00B41CAA">
      <w:pPr>
        <w:pStyle w:val="Textonotapie"/>
        <w:rPr>
          <w:lang w:val="es-EC"/>
        </w:rPr>
      </w:pPr>
      <w:r>
        <w:rPr>
          <w:rStyle w:val="Refdenotaalpie"/>
        </w:rPr>
        <w:footnoteRef/>
      </w:r>
      <w:r>
        <w:t xml:space="preserve"> </w:t>
      </w:r>
      <w:r>
        <w:rPr>
          <w:lang w:val="es-EC"/>
        </w:rPr>
        <w:t xml:space="preserve">Por efectos prácticos y con el afán de abarcar el total de los datos hemos unido las regiones de Oriente e Insular, junto con las </w:t>
      </w:r>
      <w:r w:rsidRPr="00513C49">
        <w:rPr>
          <w:lang w:val="es-EC"/>
        </w:rPr>
        <w:t>Zonas no Delimitadas</w:t>
      </w:r>
      <w:r>
        <w:rPr>
          <w:lang w:val="es-EC"/>
        </w:rPr>
        <w:t xml:space="preserve">, en una sola </w:t>
      </w:r>
      <w:r w:rsidRPr="00513C49">
        <w:rPr>
          <w:i/>
          <w:lang w:val="es-EC"/>
        </w:rPr>
        <w:t>región</w:t>
      </w:r>
      <w:r>
        <w:rPr>
          <w:lang w:val="es-EC"/>
        </w:rPr>
        <w:t>.</w:t>
      </w:r>
    </w:p>
  </w:footnote>
  <w:footnote w:id="9">
    <w:p w:rsidR="00B41CAA" w:rsidRPr="00FA4416" w:rsidRDefault="00B41CAA" w:rsidP="00B41CAA">
      <w:pPr>
        <w:pStyle w:val="Textonotapie"/>
        <w:rPr>
          <w:lang w:val="es-EC"/>
        </w:rPr>
      </w:pPr>
      <w:r>
        <w:rPr>
          <w:rStyle w:val="Refdenotaalpie"/>
        </w:rPr>
        <w:footnoteRef/>
      </w:r>
      <w:r>
        <w:t xml:space="preserve"> Este Gasto Provincial en Salud, viene dado por parte del MSP hacia las respectivas Direcciones Provinciales, más lo invertido en los hospitales y centros de salud del mismo MSP en cada provincia.</w:t>
      </w:r>
    </w:p>
  </w:footnote>
  <w:footnote w:id="10">
    <w:p w:rsidR="00B41CAA" w:rsidRPr="00EF5110" w:rsidRDefault="00B41CAA" w:rsidP="00B41CAA">
      <w:pPr>
        <w:pStyle w:val="Textonotapie"/>
        <w:rPr>
          <w:lang w:val="es-EC"/>
        </w:rPr>
      </w:pPr>
      <w:r>
        <w:rPr>
          <w:rStyle w:val="Refdenotaalpie"/>
        </w:rPr>
        <w:footnoteRef/>
      </w:r>
      <w:r>
        <w:t xml:space="preserve"> </w:t>
      </w:r>
      <w:r>
        <w:rPr>
          <w:lang w:val="es-EC"/>
        </w:rPr>
        <w:t>En el caso de Azuay se encuentra en el puesto 10, un nivel medio; pero Guayas y Pichincha son las provincias 21 y 22 respectivamente en cuanto a habitantes por establecimiento de salud pública se refiere.</w:t>
      </w:r>
    </w:p>
  </w:footnote>
  <w:footnote w:id="11">
    <w:p w:rsidR="00B41CAA" w:rsidRPr="00EF5110" w:rsidRDefault="00B41CAA" w:rsidP="00B41CAA">
      <w:pPr>
        <w:pStyle w:val="Textonotapie"/>
        <w:rPr>
          <w:lang w:val="es-EC"/>
        </w:rPr>
      </w:pPr>
      <w:r>
        <w:rPr>
          <w:rStyle w:val="Refdenotaalpie"/>
        </w:rPr>
        <w:footnoteRef/>
      </w:r>
      <w:r>
        <w:t xml:space="preserve"> </w:t>
      </w:r>
      <w:r>
        <w:rPr>
          <w:lang w:val="es-EC"/>
        </w:rPr>
        <w:t>Azuay 1ª, Guayas 10ª y Pichincha 3ª.</w:t>
      </w:r>
    </w:p>
  </w:footnote>
  <w:footnote w:id="12">
    <w:p w:rsidR="00B41CAA" w:rsidRPr="00C26164" w:rsidRDefault="00B41CAA" w:rsidP="00B41CAA">
      <w:pPr>
        <w:pStyle w:val="Textonotapie"/>
        <w:jc w:val="both"/>
      </w:pPr>
      <w:r>
        <w:rPr>
          <w:rStyle w:val="Refdenotaalpie"/>
        </w:rPr>
        <w:footnoteRef/>
      </w:r>
      <w:r>
        <w:t xml:space="preserve"> Luego de percibir grandes ingresos, la inversión se concentra creando una fuerte demanda de mano de obra, incentivando a esta con mejores salarios y mejor potencial de nivel de vida.</w:t>
      </w:r>
    </w:p>
  </w:footnote>
  <w:footnote w:id="13">
    <w:p w:rsidR="00B41CAA" w:rsidRPr="00C26164" w:rsidRDefault="00B41CAA" w:rsidP="00B41CAA">
      <w:pPr>
        <w:pStyle w:val="Textonotapie"/>
        <w:jc w:val="both"/>
        <w:rPr>
          <w:lang w:val="es-EC"/>
        </w:rPr>
      </w:pPr>
      <w:r>
        <w:rPr>
          <w:rStyle w:val="Refdenotaalpie"/>
        </w:rPr>
        <w:footnoteRef/>
      </w:r>
      <w:r>
        <w:t xml:space="preserve"> </w:t>
      </w:r>
      <w:r>
        <w:rPr>
          <w:lang w:val="es-EC"/>
        </w:rPr>
        <w:t>En la provincia de Guayas es un caso especial como veremos más adelante, debido a que es la provincia que menos ingresos destina a salarios o remuneraciones. Pero probablemente estos sigan siendo mejores que el resto del país porque Guayas a la vez es quien mayor ingreso (por una distancia considerable al segundo) percibe</w:t>
      </w:r>
    </w:p>
  </w:footnote>
  <w:footnote w:id="14">
    <w:p w:rsidR="00134024" w:rsidRDefault="00134024" w:rsidP="00134024">
      <w:pPr>
        <w:pStyle w:val="Default"/>
      </w:pPr>
      <w:r>
        <w:rPr>
          <w:rStyle w:val="Refdenotaalpie"/>
        </w:rPr>
        <w:footnoteRef/>
      </w:r>
      <w:r>
        <w:t xml:space="preserve"> </w:t>
      </w:r>
      <w:r w:rsidRPr="00F81B8B">
        <w:rPr>
          <w:sz w:val="16"/>
        </w:rPr>
        <w:t>ODA D. SILVA N. “Competencia y toma de riesgo en el mercado de créditos de consumo bancario chileno (1997-2009).Marzo 2010. Banco Central de Chile</w:t>
      </w:r>
    </w:p>
    <w:p w:rsidR="00134024" w:rsidRPr="00C2245F" w:rsidRDefault="00134024" w:rsidP="00134024">
      <w:pPr>
        <w:pStyle w:val="Textonotapie"/>
        <w:rPr>
          <w:lang w:val="es-MX"/>
        </w:rPr>
      </w:pPr>
      <w:r>
        <w:t xml:space="preserve"> </w:t>
      </w:r>
    </w:p>
  </w:footnote>
  <w:footnote w:id="15">
    <w:p w:rsidR="00134024" w:rsidRPr="00AE7F91" w:rsidRDefault="00134024" w:rsidP="00134024">
      <w:pPr>
        <w:pStyle w:val="Textonotapie"/>
        <w:rPr>
          <w:lang w:val="es-MX"/>
        </w:rPr>
      </w:pPr>
      <w:r>
        <w:rPr>
          <w:rStyle w:val="Refdenotaalpie"/>
          <w:rFonts w:eastAsiaTheme="majorEastAsia"/>
        </w:rPr>
        <w:footnoteRef/>
      </w:r>
      <w:r>
        <w:t xml:space="preserve"> </w:t>
      </w:r>
      <w:r>
        <w:rPr>
          <w:lang w:val="es-MX"/>
        </w:rPr>
        <w:t>Servicioalcliente@hospitaldelosvalles.com</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5pt;height:15pt" o:bullet="t">
        <v:imagedata r:id="rId1" o:title="msoD4"/>
      </v:shape>
    </w:pict>
  </w:numPicBullet>
  <w:abstractNum w:abstractNumId="0">
    <w:nsid w:val="038A0413"/>
    <w:multiLevelType w:val="hybridMultilevel"/>
    <w:tmpl w:val="FA88EC9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nsid w:val="059272AE"/>
    <w:multiLevelType w:val="hybridMultilevel"/>
    <w:tmpl w:val="9B8855F2"/>
    <w:lvl w:ilvl="0" w:tplc="8398FE36">
      <w:numFmt w:val="bullet"/>
      <w:lvlText w:val="-"/>
      <w:lvlJc w:val="left"/>
      <w:pPr>
        <w:tabs>
          <w:tab w:val="num" w:pos="720"/>
        </w:tabs>
        <w:ind w:left="720" w:hanging="360"/>
      </w:pPr>
      <w:rPr>
        <w:rFonts w:ascii="Arial" w:eastAsia="Times New Roman" w:hAnsi="Arial" w:cs="Wingdings"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078A5B3B"/>
    <w:multiLevelType w:val="hybridMultilevel"/>
    <w:tmpl w:val="174E8006"/>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26B246F5"/>
    <w:multiLevelType w:val="hybridMultilevel"/>
    <w:tmpl w:val="6C56866C"/>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36715D02"/>
    <w:multiLevelType w:val="hybridMultilevel"/>
    <w:tmpl w:val="B9C446CE"/>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
    <w:nsid w:val="3DD5552A"/>
    <w:multiLevelType w:val="hybridMultilevel"/>
    <w:tmpl w:val="E1AE8352"/>
    <w:lvl w:ilvl="0" w:tplc="0C0A0001">
      <w:start w:val="1"/>
      <w:numFmt w:val="bullet"/>
      <w:lvlText w:val=""/>
      <w:lvlJc w:val="left"/>
      <w:pPr>
        <w:ind w:left="765" w:hanging="360"/>
      </w:pPr>
      <w:rPr>
        <w:rFonts w:ascii="Symbol" w:hAnsi="Symbol" w:hint="default"/>
      </w:rPr>
    </w:lvl>
    <w:lvl w:ilvl="1" w:tplc="0C0A0003" w:tentative="1">
      <w:start w:val="1"/>
      <w:numFmt w:val="bullet"/>
      <w:lvlText w:val="o"/>
      <w:lvlJc w:val="left"/>
      <w:pPr>
        <w:ind w:left="1485" w:hanging="360"/>
      </w:pPr>
      <w:rPr>
        <w:rFonts w:ascii="Courier New" w:hAnsi="Courier New" w:cs="Courier New" w:hint="default"/>
      </w:rPr>
    </w:lvl>
    <w:lvl w:ilvl="2" w:tplc="0C0A0005" w:tentative="1">
      <w:start w:val="1"/>
      <w:numFmt w:val="bullet"/>
      <w:lvlText w:val=""/>
      <w:lvlJc w:val="left"/>
      <w:pPr>
        <w:ind w:left="2205" w:hanging="360"/>
      </w:pPr>
      <w:rPr>
        <w:rFonts w:ascii="Wingdings" w:hAnsi="Wingdings" w:hint="default"/>
      </w:rPr>
    </w:lvl>
    <w:lvl w:ilvl="3" w:tplc="0C0A0001" w:tentative="1">
      <w:start w:val="1"/>
      <w:numFmt w:val="bullet"/>
      <w:lvlText w:val=""/>
      <w:lvlJc w:val="left"/>
      <w:pPr>
        <w:ind w:left="2925" w:hanging="360"/>
      </w:pPr>
      <w:rPr>
        <w:rFonts w:ascii="Symbol" w:hAnsi="Symbol" w:hint="default"/>
      </w:rPr>
    </w:lvl>
    <w:lvl w:ilvl="4" w:tplc="0C0A0003" w:tentative="1">
      <w:start w:val="1"/>
      <w:numFmt w:val="bullet"/>
      <w:lvlText w:val="o"/>
      <w:lvlJc w:val="left"/>
      <w:pPr>
        <w:ind w:left="3645" w:hanging="360"/>
      </w:pPr>
      <w:rPr>
        <w:rFonts w:ascii="Courier New" w:hAnsi="Courier New" w:cs="Courier New" w:hint="default"/>
      </w:rPr>
    </w:lvl>
    <w:lvl w:ilvl="5" w:tplc="0C0A0005" w:tentative="1">
      <w:start w:val="1"/>
      <w:numFmt w:val="bullet"/>
      <w:lvlText w:val=""/>
      <w:lvlJc w:val="left"/>
      <w:pPr>
        <w:ind w:left="4365" w:hanging="360"/>
      </w:pPr>
      <w:rPr>
        <w:rFonts w:ascii="Wingdings" w:hAnsi="Wingdings" w:hint="default"/>
      </w:rPr>
    </w:lvl>
    <w:lvl w:ilvl="6" w:tplc="0C0A0001" w:tentative="1">
      <w:start w:val="1"/>
      <w:numFmt w:val="bullet"/>
      <w:lvlText w:val=""/>
      <w:lvlJc w:val="left"/>
      <w:pPr>
        <w:ind w:left="5085" w:hanging="360"/>
      </w:pPr>
      <w:rPr>
        <w:rFonts w:ascii="Symbol" w:hAnsi="Symbol" w:hint="default"/>
      </w:rPr>
    </w:lvl>
    <w:lvl w:ilvl="7" w:tplc="0C0A0003" w:tentative="1">
      <w:start w:val="1"/>
      <w:numFmt w:val="bullet"/>
      <w:lvlText w:val="o"/>
      <w:lvlJc w:val="left"/>
      <w:pPr>
        <w:ind w:left="5805" w:hanging="360"/>
      </w:pPr>
      <w:rPr>
        <w:rFonts w:ascii="Courier New" w:hAnsi="Courier New" w:cs="Courier New" w:hint="default"/>
      </w:rPr>
    </w:lvl>
    <w:lvl w:ilvl="8" w:tplc="0C0A0005" w:tentative="1">
      <w:start w:val="1"/>
      <w:numFmt w:val="bullet"/>
      <w:lvlText w:val=""/>
      <w:lvlJc w:val="left"/>
      <w:pPr>
        <w:ind w:left="6525" w:hanging="360"/>
      </w:pPr>
      <w:rPr>
        <w:rFonts w:ascii="Wingdings" w:hAnsi="Wingdings" w:hint="default"/>
      </w:rPr>
    </w:lvl>
  </w:abstractNum>
  <w:abstractNum w:abstractNumId="6">
    <w:nsid w:val="458B1937"/>
    <w:multiLevelType w:val="hybridMultilevel"/>
    <w:tmpl w:val="2314112E"/>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7">
    <w:nsid w:val="4659020B"/>
    <w:multiLevelType w:val="hybridMultilevel"/>
    <w:tmpl w:val="248C799E"/>
    <w:lvl w:ilvl="0" w:tplc="8398FE36">
      <w:numFmt w:val="bullet"/>
      <w:lvlText w:val="-"/>
      <w:lvlJc w:val="left"/>
      <w:pPr>
        <w:tabs>
          <w:tab w:val="num" w:pos="720"/>
        </w:tabs>
        <w:ind w:left="720" w:hanging="360"/>
      </w:pPr>
      <w:rPr>
        <w:rFonts w:ascii="Arial" w:eastAsia="Times New Roman" w:hAnsi="Arial" w:cs="Wingdings"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nsid w:val="54021C89"/>
    <w:multiLevelType w:val="hybridMultilevel"/>
    <w:tmpl w:val="AD7880B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56B05E73"/>
    <w:multiLevelType w:val="hybridMultilevel"/>
    <w:tmpl w:val="7168FBEC"/>
    <w:lvl w:ilvl="0" w:tplc="300A000F">
      <w:start w:val="1"/>
      <w:numFmt w:val="decimal"/>
      <w:lvlText w:val="%1."/>
      <w:lvlJc w:val="left"/>
      <w:pPr>
        <w:ind w:left="360" w:hanging="360"/>
      </w:pPr>
    </w:lvl>
    <w:lvl w:ilvl="1" w:tplc="0C0A0001">
      <w:start w:val="1"/>
      <w:numFmt w:val="bullet"/>
      <w:lvlText w:val=""/>
      <w:lvlJc w:val="left"/>
      <w:pPr>
        <w:tabs>
          <w:tab w:val="num" w:pos="1080"/>
        </w:tabs>
        <w:ind w:left="1080" w:hanging="360"/>
      </w:pPr>
      <w:rPr>
        <w:rFonts w:ascii="Symbol" w:hAnsi="Symbol" w:hint="default"/>
      </w:r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abstractNum w:abstractNumId="10">
    <w:nsid w:val="5BE47DDC"/>
    <w:multiLevelType w:val="hybridMultilevel"/>
    <w:tmpl w:val="736A3940"/>
    <w:lvl w:ilvl="0" w:tplc="8398FE36">
      <w:numFmt w:val="bullet"/>
      <w:lvlText w:val="-"/>
      <w:lvlJc w:val="left"/>
      <w:pPr>
        <w:tabs>
          <w:tab w:val="num" w:pos="720"/>
        </w:tabs>
        <w:ind w:left="720" w:hanging="360"/>
      </w:pPr>
      <w:rPr>
        <w:rFonts w:ascii="Arial" w:eastAsia="Times New Roman" w:hAnsi="Arial" w:cs="Wingdings"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1">
    <w:nsid w:val="5E5D5032"/>
    <w:multiLevelType w:val="hybridMultilevel"/>
    <w:tmpl w:val="90126D40"/>
    <w:lvl w:ilvl="0" w:tplc="8398FE36">
      <w:numFmt w:val="bullet"/>
      <w:lvlText w:val="-"/>
      <w:lvlJc w:val="left"/>
      <w:pPr>
        <w:tabs>
          <w:tab w:val="num" w:pos="720"/>
        </w:tabs>
        <w:ind w:left="720" w:hanging="360"/>
      </w:pPr>
      <w:rPr>
        <w:rFonts w:ascii="Arial" w:eastAsia="Times New Roman" w:hAnsi="Arial" w:cs="Wingdings"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nsid w:val="5F75605C"/>
    <w:multiLevelType w:val="hybridMultilevel"/>
    <w:tmpl w:val="00D6525E"/>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6388358D"/>
    <w:multiLevelType w:val="hybridMultilevel"/>
    <w:tmpl w:val="60726D18"/>
    <w:lvl w:ilvl="0" w:tplc="8398FE36">
      <w:numFmt w:val="bullet"/>
      <w:lvlText w:val="-"/>
      <w:lvlJc w:val="left"/>
      <w:pPr>
        <w:tabs>
          <w:tab w:val="num" w:pos="720"/>
        </w:tabs>
        <w:ind w:left="720" w:hanging="360"/>
      </w:pPr>
      <w:rPr>
        <w:rFonts w:ascii="Arial" w:eastAsia="Times New Roman" w:hAnsi="Arial" w:cs="Wingdings" w:hint="default"/>
      </w:rPr>
    </w:lvl>
    <w:lvl w:ilvl="1" w:tplc="0C0A0003" w:tentative="1">
      <w:start w:val="1"/>
      <w:numFmt w:val="bullet"/>
      <w:lvlText w:val="o"/>
      <w:lvlJc w:val="left"/>
      <w:pPr>
        <w:tabs>
          <w:tab w:val="num" w:pos="1440"/>
        </w:tabs>
        <w:ind w:left="1440" w:hanging="360"/>
      </w:pPr>
      <w:rPr>
        <w:rFonts w:ascii="Courier New" w:hAnsi="Courier New" w:cs="Wingding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Wingdings"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Wingdings"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nsid w:val="638D6896"/>
    <w:multiLevelType w:val="hybridMultilevel"/>
    <w:tmpl w:val="43D25DD4"/>
    <w:lvl w:ilvl="0" w:tplc="300A0001">
      <w:start w:val="1"/>
      <w:numFmt w:val="bullet"/>
      <w:lvlText w:val=""/>
      <w:lvlJc w:val="left"/>
      <w:pPr>
        <w:ind w:left="1080" w:hanging="360"/>
      </w:pPr>
      <w:rPr>
        <w:rFonts w:ascii="Symbol" w:hAnsi="Symbol" w:hint="default"/>
      </w:rPr>
    </w:lvl>
    <w:lvl w:ilvl="1" w:tplc="300A0003" w:tentative="1">
      <w:start w:val="1"/>
      <w:numFmt w:val="bullet"/>
      <w:lvlText w:val="o"/>
      <w:lvlJc w:val="left"/>
      <w:pPr>
        <w:ind w:left="1800" w:hanging="360"/>
      </w:pPr>
      <w:rPr>
        <w:rFonts w:ascii="Courier New" w:hAnsi="Courier New" w:cs="Courier New" w:hint="default"/>
      </w:rPr>
    </w:lvl>
    <w:lvl w:ilvl="2" w:tplc="300A0005" w:tentative="1">
      <w:start w:val="1"/>
      <w:numFmt w:val="bullet"/>
      <w:lvlText w:val=""/>
      <w:lvlJc w:val="left"/>
      <w:pPr>
        <w:ind w:left="2520" w:hanging="360"/>
      </w:pPr>
      <w:rPr>
        <w:rFonts w:ascii="Wingdings" w:hAnsi="Wingdings" w:hint="default"/>
      </w:rPr>
    </w:lvl>
    <w:lvl w:ilvl="3" w:tplc="300A0001" w:tentative="1">
      <w:start w:val="1"/>
      <w:numFmt w:val="bullet"/>
      <w:lvlText w:val=""/>
      <w:lvlJc w:val="left"/>
      <w:pPr>
        <w:ind w:left="3240" w:hanging="360"/>
      </w:pPr>
      <w:rPr>
        <w:rFonts w:ascii="Symbol" w:hAnsi="Symbol" w:hint="default"/>
      </w:rPr>
    </w:lvl>
    <w:lvl w:ilvl="4" w:tplc="300A0003" w:tentative="1">
      <w:start w:val="1"/>
      <w:numFmt w:val="bullet"/>
      <w:lvlText w:val="o"/>
      <w:lvlJc w:val="left"/>
      <w:pPr>
        <w:ind w:left="3960" w:hanging="360"/>
      </w:pPr>
      <w:rPr>
        <w:rFonts w:ascii="Courier New" w:hAnsi="Courier New" w:cs="Courier New" w:hint="default"/>
      </w:rPr>
    </w:lvl>
    <w:lvl w:ilvl="5" w:tplc="300A0005" w:tentative="1">
      <w:start w:val="1"/>
      <w:numFmt w:val="bullet"/>
      <w:lvlText w:val=""/>
      <w:lvlJc w:val="left"/>
      <w:pPr>
        <w:ind w:left="4680" w:hanging="360"/>
      </w:pPr>
      <w:rPr>
        <w:rFonts w:ascii="Wingdings" w:hAnsi="Wingdings" w:hint="default"/>
      </w:rPr>
    </w:lvl>
    <w:lvl w:ilvl="6" w:tplc="300A0001" w:tentative="1">
      <w:start w:val="1"/>
      <w:numFmt w:val="bullet"/>
      <w:lvlText w:val=""/>
      <w:lvlJc w:val="left"/>
      <w:pPr>
        <w:ind w:left="5400" w:hanging="360"/>
      </w:pPr>
      <w:rPr>
        <w:rFonts w:ascii="Symbol" w:hAnsi="Symbol" w:hint="default"/>
      </w:rPr>
    </w:lvl>
    <w:lvl w:ilvl="7" w:tplc="300A0003" w:tentative="1">
      <w:start w:val="1"/>
      <w:numFmt w:val="bullet"/>
      <w:lvlText w:val="o"/>
      <w:lvlJc w:val="left"/>
      <w:pPr>
        <w:ind w:left="6120" w:hanging="360"/>
      </w:pPr>
      <w:rPr>
        <w:rFonts w:ascii="Courier New" w:hAnsi="Courier New" w:cs="Courier New" w:hint="default"/>
      </w:rPr>
    </w:lvl>
    <w:lvl w:ilvl="8" w:tplc="300A0005" w:tentative="1">
      <w:start w:val="1"/>
      <w:numFmt w:val="bullet"/>
      <w:lvlText w:val=""/>
      <w:lvlJc w:val="left"/>
      <w:pPr>
        <w:ind w:left="6840" w:hanging="360"/>
      </w:pPr>
      <w:rPr>
        <w:rFonts w:ascii="Wingdings" w:hAnsi="Wingdings" w:hint="default"/>
      </w:rPr>
    </w:lvl>
  </w:abstractNum>
  <w:abstractNum w:abstractNumId="15">
    <w:nsid w:val="63AE55D1"/>
    <w:multiLevelType w:val="singleLevel"/>
    <w:tmpl w:val="0C0A0017"/>
    <w:lvl w:ilvl="0">
      <w:start w:val="1"/>
      <w:numFmt w:val="lowerLetter"/>
      <w:lvlText w:val="%1)"/>
      <w:lvlJc w:val="left"/>
      <w:pPr>
        <w:tabs>
          <w:tab w:val="num" w:pos="360"/>
        </w:tabs>
        <w:ind w:left="360" w:hanging="360"/>
      </w:pPr>
      <w:rPr>
        <w:rFonts w:hint="default"/>
      </w:rPr>
    </w:lvl>
  </w:abstractNum>
  <w:abstractNum w:abstractNumId="16">
    <w:nsid w:val="72AA3BDA"/>
    <w:multiLevelType w:val="hybridMultilevel"/>
    <w:tmpl w:val="12F6D3A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
    <w:nsid w:val="7AB83042"/>
    <w:multiLevelType w:val="hybridMultilevel"/>
    <w:tmpl w:val="3A0C6A7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nsid w:val="7C080DD3"/>
    <w:multiLevelType w:val="hybridMultilevel"/>
    <w:tmpl w:val="0590E804"/>
    <w:lvl w:ilvl="0" w:tplc="040A0001">
      <w:start w:val="1"/>
      <w:numFmt w:val="bullet"/>
      <w:lvlText w:val=""/>
      <w:lvlJc w:val="left"/>
      <w:pPr>
        <w:ind w:left="720" w:hanging="360"/>
      </w:pPr>
      <w:rPr>
        <w:rFonts w:ascii="Symbol" w:hAnsi="Symbol" w:hint="default"/>
      </w:rPr>
    </w:lvl>
    <w:lvl w:ilvl="1" w:tplc="040A0003">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4"/>
  </w:num>
  <w:num w:numId="2">
    <w:abstractNumId w:val="10"/>
  </w:num>
  <w:num w:numId="3">
    <w:abstractNumId w:val="13"/>
  </w:num>
  <w:num w:numId="4">
    <w:abstractNumId w:val="7"/>
  </w:num>
  <w:num w:numId="5">
    <w:abstractNumId w:val="1"/>
  </w:num>
  <w:num w:numId="6">
    <w:abstractNumId w:val="11"/>
  </w:num>
  <w:num w:numId="7">
    <w:abstractNumId w:val="15"/>
  </w:num>
  <w:num w:numId="8">
    <w:abstractNumId w:val="9"/>
  </w:num>
  <w:num w:numId="9">
    <w:abstractNumId w:val="6"/>
  </w:num>
  <w:num w:numId="10">
    <w:abstractNumId w:val="0"/>
  </w:num>
  <w:num w:numId="11">
    <w:abstractNumId w:val="8"/>
  </w:num>
  <w:num w:numId="12">
    <w:abstractNumId w:val="3"/>
  </w:num>
  <w:num w:numId="13">
    <w:abstractNumId w:val="2"/>
  </w:num>
  <w:num w:numId="14">
    <w:abstractNumId w:val="14"/>
  </w:num>
  <w:num w:numId="15">
    <w:abstractNumId w:val="18"/>
  </w:num>
  <w:num w:numId="16">
    <w:abstractNumId w:val="16"/>
  </w:num>
  <w:num w:numId="17">
    <w:abstractNumId w:val="5"/>
  </w:num>
  <w:num w:numId="18">
    <w:abstractNumId w:val="12"/>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3B77"/>
    <w:rsid w:val="0007256B"/>
    <w:rsid w:val="0008219B"/>
    <w:rsid w:val="00134024"/>
    <w:rsid w:val="00134DEB"/>
    <w:rsid w:val="001545ED"/>
    <w:rsid w:val="00166727"/>
    <w:rsid w:val="001D4028"/>
    <w:rsid w:val="001D418E"/>
    <w:rsid w:val="00254E7E"/>
    <w:rsid w:val="002D2247"/>
    <w:rsid w:val="003047E1"/>
    <w:rsid w:val="00315D85"/>
    <w:rsid w:val="00394E2B"/>
    <w:rsid w:val="003B4DD8"/>
    <w:rsid w:val="00404F9D"/>
    <w:rsid w:val="00441D8D"/>
    <w:rsid w:val="00484A06"/>
    <w:rsid w:val="004853E8"/>
    <w:rsid w:val="004913EF"/>
    <w:rsid w:val="004A76A1"/>
    <w:rsid w:val="004B78BB"/>
    <w:rsid w:val="004F1729"/>
    <w:rsid w:val="004F52DD"/>
    <w:rsid w:val="00527F96"/>
    <w:rsid w:val="0056349D"/>
    <w:rsid w:val="005719A5"/>
    <w:rsid w:val="005719EC"/>
    <w:rsid w:val="00591CCD"/>
    <w:rsid w:val="005B3B77"/>
    <w:rsid w:val="005C71DB"/>
    <w:rsid w:val="0060101D"/>
    <w:rsid w:val="0066262C"/>
    <w:rsid w:val="007634FB"/>
    <w:rsid w:val="00765FD0"/>
    <w:rsid w:val="007771BC"/>
    <w:rsid w:val="007C162E"/>
    <w:rsid w:val="00820C49"/>
    <w:rsid w:val="008837C5"/>
    <w:rsid w:val="0088681D"/>
    <w:rsid w:val="008D3C7A"/>
    <w:rsid w:val="009146FC"/>
    <w:rsid w:val="00925008"/>
    <w:rsid w:val="00966351"/>
    <w:rsid w:val="0096754B"/>
    <w:rsid w:val="00993692"/>
    <w:rsid w:val="00996F87"/>
    <w:rsid w:val="009A7B9B"/>
    <w:rsid w:val="00A07BAB"/>
    <w:rsid w:val="00A4326F"/>
    <w:rsid w:val="00A67326"/>
    <w:rsid w:val="00AD4718"/>
    <w:rsid w:val="00AF2B36"/>
    <w:rsid w:val="00B11FF3"/>
    <w:rsid w:val="00B16FC0"/>
    <w:rsid w:val="00B41CAA"/>
    <w:rsid w:val="00B87F23"/>
    <w:rsid w:val="00BB1529"/>
    <w:rsid w:val="00BC06E2"/>
    <w:rsid w:val="00BE158A"/>
    <w:rsid w:val="00D348C2"/>
    <w:rsid w:val="00E43A75"/>
    <w:rsid w:val="00EC7166"/>
    <w:rsid w:val="00EF771B"/>
    <w:rsid w:val="00F72F1A"/>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4C7F8D-A6B5-4D49-8021-C91BBF337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_tradnl" w:eastAsia="es-ES_tradnl"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0"/>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63"/>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0"/>
    <w:lsdException w:name="Light List Accent 5" w:uiPriority="61"/>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3B77"/>
    <w:rPr>
      <w:sz w:val="24"/>
      <w:szCs w:val="24"/>
      <w:lang w:val="es-ES" w:eastAsia="es-ES"/>
    </w:rPr>
  </w:style>
  <w:style w:type="paragraph" w:styleId="Ttulo1">
    <w:name w:val="heading 1"/>
    <w:basedOn w:val="Normal"/>
    <w:next w:val="Normal"/>
    <w:link w:val="Ttulo1Car"/>
    <w:uiPriority w:val="9"/>
    <w:qFormat/>
    <w:rsid w:val="00765FD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Ttulo2">
    <w:name w:val="heading 2"/>
    <w:basedOn w:val="Normal"/>
    <w:next w:val="Normal"/>
    <w:link w:val="Ttulo2Car"/>
    <w:uiPriority w:val="9"/>
    <w:unhideWhenUsed/>
    <w:qFormat/>
    <w:rsid w:val="00B41CAA"/>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Ttulo3">
    <w:name w:val="heading 3"/>
    <w:basedOn w:val="Normal"/>
    <w:next w:val="Normal"/>
    <w:link w:val="Ttulo3Car"/>
    <w:uiPriority w:val="9"/>
    <w:unhideWhenUsed/>
    <w:qFormat/>
    <w:rsid w:val="00B41CAA"/>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paragraph" w:styleId="Ttulo4">
    <w:name w:val="heading 4"/>
    <w:basedOn w:val="Normal"/>
    <w:next w:val="Normal"/>
    <w:qFormat/>
    <w:rsid w:val="005B3B77"/>
    <w:pPr>
      <w:keepNext/>
      <w:jc w:val="both"/>
      <w:outlineLvl w:val="3"/>
    </w:pPr>
    <w:rPr>
      <w:b/>
      <w:b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rsid w:val="005B3B77"/>
    <w:rPr>
      <w:sz w:val="20"/>
      <w:szCs w:val="20"/>
    </w:rPr>
  </w:style>
  <w:style w:type="character" w:styleId="Refdenotaalpie">
    <w:name w:val="footnote reference"/>
    <w:basedOn w:val="Fuentedeprrafopredeter"/>
    <w:uiPriority w:val="99"/>
    <w:semiHidden/>
    <w:rsid w:val="005B3B77"/>
    <w:rPr>
      <w:vertAlign w:val="superscript"/>
    </w:rPr>
  </w:style>
  <w:style w:type="character" w:styleId="Hipervnculo">
    <w:name w:val="Hyperlink"/>
    <w:basedOn w:val="Fuentedeprrafopredeter"/>
    <w:uiPriority w:val="99"/>
    <w:rsid w:val="005B3B77"/>
    <w:rPr>
      <w:color w:val="0000FF"/>
      <w:u w:val="single"/>
    </w:rPr>
  </w:style>
  <w:style w:type="paragraph" w:styleId="Sangradetextonormal">
    <w:name w:val="Body Text Indent"/>
    <w:basedOn w:val="Normal"/>
    <w:rsid w:val="005B3B77"/>
    <w:pPr>
      <w:ind w:left="540"/>
      <w:jc w:val="both"/>
    </w:pPr>
  </w:style>
  <w:style w:type="paragraph" w:styleId="Textoindependiente2">
    <w:name w:val="Body Text 2"/>
    <w:basedOn w:val="Normal"/>
    <w:rsid w:val="005B3B77"/>
    <w:pPr>
      <w:jc w:val="both"/>
    </w:pPr>
  </w:style>
  <w:style w:type="character" w:styleId="Refdecomentario">
    <w:name w:val="annotation reference"/>
    <w:basedOn w:val="Fuentedeprrafopredeter"/>
    <w:semiHidden/>
    <w:rsid w:val="00925008"/>
    <w:rPr>
      <w:sz w:val="16"/>
      <w:szCs w:val="16"/>
    </w:rPr>
  </w:style>
  <w:style w:type="paragraph" w:styleId="Textocomentario">
    <w:name w:val="annotation text"/>
    <w:basedOn w:val="Normal"/>
    <w:semiHidden/>
    <w:rsid w:val="00925008"/>
    <w:rPr>
      <w:sz w:val="20"/>
      <w:szCs w:val="20"/>
    </w:rPr>
  </w:style>
  <w:style w:type="paragraph" w:styleId="Asuntodelcomentario">
    <w:name w:val="annotation subject"/>
    <w:basedOn w:val="Textocomentario"/>
    <w:next w:val="Textocomentario"/>
    <w:semiHidden/>
    <w:rsid w:val="00925008"/>
    <w:rPr>
      <w:b/>
      <w:bCs/>
    </w:rPr>
  </w:style>
  <w:style w:type="paragraph" w:styleId="Textodeglobo">
    <w:name w:val="Balloon Text"/>
    <w:basedOn w:val="Normal"/>
    <w:link w:val="TextodegloboCar"/>
    <w:uiPriority w:val="99"/>
    <w:semiHidden/>
    <w:rsid w:val="00925008"/>
    <w:rPr>
      <w:rFonts w:ascii="Tahoma" w:hAnsi="Tahoma" w:cs="Tahoma"/>
      <w:sz w:val="16"/>
      <w:szCs w:val="16"/>
    </w:rPr>
  </w:style>
  <w:style w:type="character" w:styleId="Hipervnculovisitado">
    <w:name w:val="FollowedHyperlink"/>
    <w:basedOn w:val="Fuentedeprrafopredeter"/>
    <w:rsid w:val="001D4028"/>
    <w:rPr>
      <w:color w:val="800080" w:themeColor="followedHyperlink"/>
      <w:u w:val="single"/>
    </w:rPr>
  </w:style>
  <w:style w:type="paragraph" w:styleId="Prrafodelista">
    <w:name w:val="List Paragraph"/>
    <w:basedOn w:val="Normal"/>
    <w:uiPriority w:val="34"/>
    <w:qFormat/>
    <w:rsid w:val="00254E7E"/>
    <w:pPr>
      <w:widowControl w:val="0"/>
      <w:ind w:left="708"/>
    </w:pPr>
    <w:rPr>
      <w:rFonts w:ascii="Arial" w:hAnsi="Arial"/>
      <w:snapToGrid w:val="0"/>
      <w:szCs w:val="20"/>
    </w:rPr>
  </w:style>
  <w:style w:type="character" w:customStyle="1" w:styleId="Ttulo1Car">
    <w:name w:val="Título 1 Car"/>
    <w:basedOn w:val="Fuentedeprrafopredeter"/>
    <w:link w:val="Ttulo1"/>
    <w:uiPriority w:val="9"/>
    <w:rsid w:val="00765FD0"/>
    <w:rPr>
      <w:rFonts w:asciiTheme="majorHAnsi" w:eastAsiaTheme="majorEastAsia" w:hAnsiTheme="majorHAnsi" w:cstheme="majorBidi"/>
      <w:b/>
      <w:bCs/>
      <w:color w:val="345A8A" w:themeColor="accent1" w:themeShade="B5"/>
      <w:sz w:val="32"/>
      <w:szCs w:val="32"/>
      <w:lang w:val="es-ES" w:eastAsia="es-ES"/>
    </w:rPr>
  </w:style>
  <w:style w:type="character" w:customStyle="1" w:styleId="Ttulo2Car">
    <w:name w:val="Título 2 Car"/>
    <w:basedOn w:val="Fuentedeprrafopredeter"/>
    <w:link w:val="Ttulo2"/>
    <w:uiPriority w:val="9"/>
    <w:rsid w:val="00B41CAA"/>
    <w:rPr>
      <w:rFonts w:asciiTheme="majorHAnsi" w:eastAsiaTheme="majorEastAsia" w:hAnsiTheme="majorHAnsi" w:cstheme="majorBidi"/>
      <w:b/>
      <w:bCs/>
      <w:color w:val="4F81BD" w:themeColor="accent1"/>
      <w:sz w:val="26"/>
      <w:szCs w:val="26"/>
      <w:lang w:val="es-ES" w:eastAsia="en-US"/>
    </w:rPr>
  </w:style>
  <w:style w:type="character" w:customStyle="1" w:styleId="Ttulo3Car">
    <w:name w:val="Título 3 Car"/>
    <w:basedOn w:val="Fuentedeprrafopredeter"/>
    <w:link w:val="Ttulo3"/>
    <w:uiPriority w:val="9"/>
    <w:rsid w:val="00B41CAA"/>
    <w:rPr>
      <w:rFonts w:asciiTheme="majorHAnsi" w:eastAsiaTheme="majorEastAsia" w:hAnsiTheme="majorHAnsi" w:cstheme="majorBidi"/>
      <w:b/>
      <w:bCs/>
      <w:color w:val="4F81BD" w:themeColor="accent1"/>
      <w:sz w:val="22"/>
      <w:szCs w:val="22"/>
      <w:lang w:val="es-ES" w:eastAsia="en-US"/>
    </w:rPr>
  </w:style>
  <w:style w:type="paragraph" w:styleId="Puesto">
    <w:name w:val="Title"/>
    <w:basedOn w:val="Normal"/>
    <w:next w:val="Normal"/>
    <w:link w:val="PuestoCar"/>
    <w:uiPriority w:val="10"/>
    <w:qFormat/>
    <w:rsid w:val="00B41CA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PuestoCar">
    <w:name w:val="Puesto Car"/>
    <w:basedOn w:val="Fuentedeprrafopredeter"/>
    <w:link w:val="Puesto"/>
    <w:uiPriority w:val="10"/>
    <w:rsid w:val="00B41CAA"/>
    <w:rPr>
      <w:rFonts w:asciiTheme="majorHAnsi" w:eastAsiaTheme="majorEastAsia" w:hAnsiTheme="majorHAnsi" w:cstheme="majorBidi"/>
      <w:color w:val="17365D" w:themeColor="text2" w:themeShade="BF"/>
      <w:spacing w:val="5"/>
      <w:kern w:val="28"/>
      <w:sz w:val="52"/>
      <w:szCs w:val="52"/>
      <w:lang w:val="es-ES" w:eastAsia="en-US"/>
    </w:rPr>
  </w:style>
  <w:style w:type="paragraph" w:styleId="Sinespaciado">
    <w:name w:val="No Spacing"/>
    <w:uiPriority w:val="1"/>
    <w:qFormat/>
    <w:rsid w:val="00B41CAA"/>
    <w:rPr>
      <w:rFonts w:asciiTheme="minorHAnsi" w:eastAsiaTheme="minorHAnsi" w:hAnsiTheme="minorHAnsi" w:cstheme="minorBidi"/>
      <w:sz w:val="22"/>
      <w:szCs w:val="22"/>
      <w:lang w:val="es-ES" w:eastAsia="en-US"/>
    </w:rPr>
  </w:style>
  <w:style w:type="character" w:customStyle="1" w:styleId="TextodegloboCar">
    <w:name w:val="Texto de globo Car"/>
    <w:basedOn w:val="Fuentedeprrafopredeter"/>
    <w:link w:val="Textodeglobo"/>
    <w:uiPriority w:val="99"/>
    <w:semiHidden/>
    <w:rsid w:val="00B41CAA"/>
    <w:rPr>
      <w:rFonts w:ascii="Tahoma" w:hAnsi="Tahoma" w:cs="Tahoma"/>
      <w:sz w:val="16"/>
      <w:szCs w:val="16"/>
      <w:lang w:val="es-ES" w:eastAsia="es-ES"/>
    </w:rPr>
  </w:style>
  <w:style w:type="character" w:customStyle="1" w:styleId="TextonotapieCar">
    <w:name w:val="Texto nota pie Car"/>
    <w:basedOn w:val="Fuentedeprrafopredeter"/>
    <w:link w:val="Textonotapie"/>
    <w:uiPriority w:val="99"/>
    <w:semiHidden/>
    <w:rsid w:val="00B41CAA"/>
    <w:rPr>
      <w:lang w:val="es-ES" w:eastAsia="es-ES"/>
    </w:rPr>
  </w:style>
  <w:style w:type="table" w:styleId="Tablaconcuadrcula">
    <w:name w:val="Table Grid"/>
    <w:basedOn w:val="Tablanormal"/>
    <w:uiPriority w:val="59"/>
    <w:rsid w:val="00B41CAA"/>
    <w:rPr>
      <w:rFonts w:asciiTheme="minorHAnsi" w:eastAsiaTheme="minorHAnsi" w:hAnsiTheme="minorHAnsi" w:cstheme="minorBidi"/>
      <w:sz w:val="22"/>
      <w:szCs w:val="22"/>
      <w:lang w:val="es-E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B41CAA"/>
    <w:rPr>
      <w:i/>
      <w:iCs/>
    </w:rPr>
  </w:style>
  <w:style w:type="table" w:customStyle="1" w:styleId="Sombreadoclaro-nfasis11">
    <w:name w:val="Sombreado claro - Énfasis 11"/>
    <w:basedOn w:val="Tablanormal"/>
    <w:uiPriority w:val="60"/>
    <w:rsid w:val="00134024"/>
    <w:rPr>
      <w:rFonts w:asciiTheme="minorHAnsi" w:eastAsiaTheme="minorHAnsi" w:hAnsiTheme="minorHAnsi" w:cstheme="minorBidi"/>
      <w:color w:val="365F91" w:themeColor="accent1" w:themeShade="BF"/>
      <w:sz w:val="22"/>
      <w:szCs w:val="22"/>
      <w:lang w:val="es-EC" w:eastAsia="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Sombreadoclaro-nfasis5">
    <w:name w:val="Light Shading Accent 5"/>
    <w:basedOn w:val="Tablanormal"/>
    <w:uiPriority w:val="60"/>
    <w:rsid w:val="00134024"/>
    <w:rPr>
      <w:rFonts w:asciiTheme="minorHAnsi" w:eastAsiaTheme="minorHAnsi" w:hAnsiTheme="minorHAnsi" w:cstheme="minorBidi"/>
      <w:color w:val="31849B" w:themeColor="accent5" w:themeShade="BF"/>
      <w:sz w:val="22"/>
      <w:szCs w:val="22"/>
      <w:lang w:val="es-EC" w:eastAsia="en-US"/>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customStyle="1" w:styleId="Sombreadomedio1-nfasis11">
    <w:name w:val="Sombreado medio 1 - Énfasis 11"/>
    <w:basedOn w:val="Tablanormal"/>
    <w:uiPriority w:val="63"/>
    <w:rsid w:val="00134024"/>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Sombreadoclaro-nfasis3">
    <w:name w:val="Light Shading Accent 3"/>
    <w:basedOn w:val="Tablanormal"/>
    <w:uiPriority w:val="60"/>
    <w:rsid w:val="00134024"/>
    <w:rPr>
      <w:rFonts w:asciiTheme="minorHAnsi" w:eastAsiaTheme="minorHAnsi" w:hAnsiTheme="minorHAnsi" w:cstheme="minorBidi"/>
      <w:color w:val="76923C" w:themeColor="accent3" w:themeShade="BF"/>
      <w:sz w:val="22"/>
      <w:szCs w:val="22"/>
      <w:lang w:val="es-EC"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customStyle="1" w:styleId="Sombreadoclaro1">
    <w:name w:val="Sombreado claro1"/>
    <w:basedOn w:val="Tablanormal"/>
    <w:uiPriority w:val="60"/>
    <w:rsid w:val="00134024"/>
    <w:rPr>
      <w:rFonts w:asciiTheme="minorHAnsi" w:eastAsiaTheme="minorHAnsi" w:hAnsiTheme="minorHAnsi" w:cstheme="minorBidi"/>
      <w:color w:val="000000" w:themeColor="text1" w:themeShade="BF"/>
      <w:sz w:val="22"/>
      <w:szCs w:val="22"/>
      <w:lang w:val="es-EC" w:eastAsia="en-US"/>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clara-nfasis5">
    <w:name w:val="Light List Accent 5"/>
    <w:basedOn w:val="Tablanormal"/>
    <w:uiPriority w:val="61"/>
    <w:rsid w:val="00134024"/>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customStyle="1" w:styleId="Cuadrculaclara-nfasis11">
    <w:name w:val="Cuadrícula clara - Énfasis 11"/>
    <w:basedOn w:val="Tablanormal"/>
    <w:uiPriority w:val="62"/>
    <w:rsid w:val="00134024"/>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customStyle="1" w:styleId="Listaclara-nfasis11">
    <w:name w:val="Lista clara - Énfasis 11"/>
    <w:basedOn w:val="Tablanormal"/>
    <w:uiPriority w:val="61"/>
    <w:rsid w:val="00134024"/>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Default">
    <w:name w:val="Default"/>
    <w:rsid w:val="00134024"/>
    <w:pPr>
      <w:autoSpaceDE w:val="0"/>
      <w:autoSpaceDN w:val="0"/>
      <w:adjustRightInd w:val="0"/>
    </w:pPr>
    <w:rPr>
      <w:rFonts w:eastAsiaTheme="minorHAnsi"/>
      <w:color w:val="000000"/>
      <w:sz w:val="24"/>
      <w:szCs w:val="24"/>
      <w:lang w:val="es-ES" w:eastAsia="en-US"/>
    </w:rPr>
  </w:style>
  <w:style w:type="paragraph" w:styleId="TDC1">
    <w:name w:val="toc 1"/>
    <w:basedOn w:val="Normal"/>
    <w:next w:val="Normal"/>
    <w:autoRedefine/>
    <w:uiPriority w:val="39"/>
    <w:unhideWhenUsed/>
    <w:rsid w:val="00134024"/>
    <w:pPr>
      <w:spacing w:after="100" w:line="276" w:lineRule="auto"/>
    </w:pPr>
    <w:rPr>
      <w:rFonts w:asciiTheme="minorHAnsi" w:eastAsiaTheme="minorHAnsi" w:hAnsiTheme="minorHAnsi" w:cstheme="minorBidi"/>
      <w:sz w:val="22"/>
      <w:szCs w:val="22"/>
      <w:lang w:val="es-EC" w:eastAsia="en-US"/>
    </w:rPr>
  </w:style>
  <w:style w:type="paragraph" w:styleId="TDC2">
    <w:name w:val="toc 2"/>
    <w:basedOn w:val="Normal"/>
    <w:next w:val="Normal"/>
    <w:autoRedefine/>
    <w:uiPriority w:val="39"/>
    <w:unhideWhenUsed/>
    <w:rsid w:val="00134024"/>
    <w:pPr>
      <w:spacing w:after="100" w:line="276" w:lineRule="auto"/>
      <w:ind w:left="220"/>
    </w:pPr>
    <w:rPr>
      <w:rFonts w:asciiTheme="minorHAnsi" w:eastAsiaTheme="minorHAnsi" w:hAnsiTheme="minorHAnsi" w:cstheme="minorBidi"/>
      <w:sz w:val="22"/>
      <w:szCs w:val="22"/>
      <w:lang w:val="es-EC" w:eastAsia="en-US"/>
    </w:rPr>
  </w:style>
  <w:style w:type="paragraph" w:styleId="TDC3">
    <w:name w:val="toc 3"/>
    <w:basedOn w:val="Normal"/>
    <w:next w:val="Normal"/>
    <w:autoRedefine/>
    <w:uiPriority w:val="39"/>
    <w:unhideWhenUsed/>
    <w:rsid w:val="00134024"/>
    <w:pPr>
      <w:spacing w:after="100" w:line="276" w:lineRule="auto"/>
      <w:ind w:left="440"/>
    </w:pPr>
    <w:rPr>
      <w:rFonts w:asciiTheme="minorHAnsi" w:eastAsiaTheme="minorHAnsi" w:hAnsiTheme="minorHAnsi" w:cstheme="minorBidi"/>
      <w:sz w:val="22"/>
      <w:szCs w:val="22"/>
      <w:lang w:val="es-EC" w:eastAsia="en-US"/>
    </w:rPr>
  </w:style>
  <w:style w:type="paragraph" w:styleId="Encabezado">
    <w:name w:val="header"/>
    <w:basedOn w:val="Normal"/>
    <w:link w:val="EncabezadoCar"/>
    <w:uiPriority w:val="99"/>
    <w:unhideWhenUsed/>
    <w:rsid w:val="00134024"/>
    <w:pPr>
      <w:tabs>
        <w:tab w:val="center" w:pos="4252"/>
        <w:tab w:val="right" w:pos="8504"/>
      </w:tabs>
    </w:pPr>
    <w:rPr>
      <w:rFonts w:asciiTheme="minorHAnsi" w:eastAsiaTheme="minorHAnsi" w:hAnsiTheme="minorHAnsi" w:cstheme="minorBidi"/>
      <w:sz w:val="22"/>
      <w:szCs w:val="22"/>
      <w:lang w:val="es-EC" w:eastAsia="en-US"/>
    </w:rPr>
  </w:style>
  <w:style w:type="character" w:customStyle="1" w:styleId="EncabezadoCar">
    <w:name w:val="Encabezado Car"/>
    <w:basedOn w:val="Fuentedeprrafopredeter"/>
    <w:link w:val="Encabezado"/>
    <w:uiPriority w:val="99"/>
    <w:rsid w:val="00134024"/>
    <w:rPr>
      <w:rFonts w:asciiTheme="minorHAnsi" w:eastAsiaTheme="minorHAnsi" w:hAnsiTheme="minorHAnsi" w:cstheme="minorBidi"/>
      <w:sz w:val="22"/>
      <w:szCs w:val="22"/>
      <w:lang w:val="es-EC" w:eastAsia="en-US"/>
    </w:rPr>
  </w:style>
  <w:style w:type="paragraph" w:styleId="Piedepgina">
    <w:name w:val="footer"/>
    <w:basedOn w:val="Normal"/>
    <w:link w:val="PiedepginaCar"/>
    <w:uiPriority w:val="99"/>
    <w:unhideWhenUsed/>
    <w:rsid w:val="00134024"/>
    <w:pPr>
      <w:tabs>
        <w:tab w:val="center" w:pos="4252"/>
        <w:tab w:val="right" w:pos="8504"/>
      </w:tabs>
    </w:pPr>
    <w:rPr>
      <w:rFonts w:asciiTheme="minorHAnsi" w:eastAsiaTheme="minorHAnsi" w:hAnsiTheme="minorHAnsi" w:cstheme="minorBidi"/>
      <w:sz w:val="22"/>
      <w:szCs w:val="22"/>
      <w:lang w:val="es-EC" w:eastAsia="en-US"/>
    </w:rPr>
  </w:style>
  <w:style w:type="character" w:customStyle="1" w:styleId="PiedepginaCar">
    <w:name w:val="Pie de página Car"/>
    <w:basedOn w:val="Fuentedeprrafopredeter"/>
    <w:link w:val="Piedepgina"/>
    <w:uiPriority w:val="99"/>
    <w:rsid w:val="00134024"/>
    <w:rPr>
      <w:rFonts w:asciiTheme="minorHAnsi" w:eastAsiaTheme="minorHAnsi" w:hAnsiTheme="minorHAnsi" w:cstheme="minorBidi"/>
      <w:sz w:val="22"/>
      <w:szCs w:val="22"/>
      <w:lang w:val="es-EC" w:eastAsia="en-US"/>
    </w:rPr>
  </w:style>
  <w:style w:type="table" w:styleId="Sombreadomedio1-nfasis4">
    <w:name w:val="Medium Shading 1 Accent 4"/>
    <w:basedOn w:val="Tablanormal"/>
    <w:uiPriority w:val="63"/>
    <w:rsid w:val="00134024"/>
    <w:rPr>
      <w:rFonts w:asciiTheme="minorHAnsi" w:eastAsiaTheme="minorHAnsi" w:hAnsiTheme="minorHAnsi" w:cstheme="minorBidi"/>
      <w:sz w:val="22"/>
      <w:szCs w:val="22"/>
      <w:lang w:val="es-EC" w:eastAsia="en-US"/>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4479704">
      <w:bodyDiv w:val="1"/>
      <w:marLeft w:val="0"/>
      <w:marRight w:val="0"/>
      <w:marTop w:val="0"/>
      <w:marBottom w:val="0"/>
      <w:divBdr>
        <w:top w:val="none" w:sz="0" w:space="0" w:color="auto"/>
        <w:left w:val="none" w:sz="0" w:space="0" w:color="auto"/>
        <w:bottom w:val="none" w:sz="0" w:space="0" w:color="auto"/>
        <w:right w:val="none" w:sz="0" w:space="0" w:color="auto"/>
      </w:divBdr>
    </w:div>
    <w:div w:id="18232294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emf"/><Relationship Id="rId117" Type="http://schemas.openxmlformats.org/officeDocument/2006/relationships/chart" Target="charts/chart56.xml"/><Relationship Id="rId21" Type="http://schemas.openxmlformats.org/officeDocument/2006/relationships/image" Target="media/image16.emf"/><Relationship Id="rId42" Type="http://schemas.openxmlformats.org/officeDocument/2006/relationships/image" Target="media/image37.emf"/><Relationship Id="rId47" Type="http://schemas.openxmlformats.org/officeDocument/2006/relationships/image" Target="media/image42.emf"/><Relationship Id="rId63" Type="http://schemas.openxmlformats.org/officeDocument/2006/relationships/chart" Target="charts/chart2.xml"/><Relationship Id="rId68" Type="http://schemas.openxmlformats.org/officeDocument/2006/relationships/chart" Target="charts/chart7.xml"/><Relationship Id="rId84" Type="http://schemas.openxmlformats.org/officeDocument/2006/relationships/chart" Target="charts/chart23.xml"/><Relationship Id="rId89" Type="http://schemas.openxmlformats.org/officeDocument/2006/relationships/chart" Target="charts/chart28.xml"/><Relationship Id="rId112" Type="http://schemas.openxmlformats.org/officeDocument/2006/relationships/chart" Target="charts/chart51.xml"/><Relationship Id="rId133" Type="http://schemas.openxmlformats.org/officeDocument/2006/relationships/chart" Target="charts/chart72.xml"/><Relationship Id="rId138" Type="http://schemas.openxmlformats.org/officeDocument/2006/relationships/theme" Target="theme/theme1.xml"/><Relationship Id="rId16" Type="http://schemas.openxmlformats.org/officeDocument/2006/relationships/image" Target="media/image11.emf"/><Relationship Id="rId107" Type="http://schemas.openxmlformats.org/officeDocument/2006/relationships/chart" Target="charts/chart46.xml"/><Relationship Id="rId11" Type="http://schemas.openxmlformats.org/officeDocument/2006/relationships/image" Target="media/image6.emf"/><Relationship Id="rId32" Type="http://schemas.openxmlformats.org/officeDocument/2006/relationships/image" Target="media/image27.emf"/><Relationship Id="rId37" Type="http://schemas.openxmlformats.org/officeDocument/2006/relationships/image" Target="media/image32.emf"/><Relationship Id="rId53" Type="http://schemas.openxmlformats.org/officeDocument/2006/relationships/image" Target="media/image48.emf"/><Relationship Id="rId58" Type="http://schemas.openxmlformats.org/officeDocument/2006/relationships/image" Target="media/image53.emf"/><Relationship Id="rId74" Type="http://schemas.openxmlformats.org/officeDocument/2006/relationships/chart" Target="charts/chart13.xml"/><Relationship Id="rId79" Type="http://schemas.openxmlformats.org/officeDocument/2006/relationships/chart" Target="charts/chart18.xml"/><Relationship Id="rId102" Type="http://schemas.openxmlformats.org/officeDocument/2006/relationships/chart" Target="charts/chart41.xml"/><Relationship Id="rId123" Type="http://schemas.openxmlformats.org/officeDocument/2006/relationships/chart" Target="charts/chart62.xml"/><Relationship Id="rId128" Type="http://schemas.openxmlformats.org/officeDocument/2006/relationships/chart" Target="charts/chart67.xml"/><Relationship Id="rId5" Type="http://schemas.openxmlformats.org/officeDocument/2006/relationships/footnotes" Target="footnotes.xml"/><Relationship Id="rId90" Type="http://schemas.openxmlformats.org/officeDocument/2006/relationships/chart" Target="charts/chart29.xml"/><Relationship Id="rId95" Type="http://schemas.openxmlformats.org/officeDocument/2006/relationships/chart" Target="charts/chart34.xml"/><Relationship Id="rId14" Type="http://schemas.openxmlformats.org/officeDocument/2006/relationships/image" Target="media/image9.emf"/><Relationship Id="rId22" Type="http://schemas.openxmlformats.org/officeDocument/2006/relationships/image" Target="media/image17.emf"/><Relationship Id="rId27" Type="http://schemas.openxmlformats.org/officeDocument/2006/relationships/image" Target="media/image22.emf"/><Relationship Id="rId30" Type="http://schemas.openxmlformats.org/officeDocument/2006/relationships/image" Target="media/image25.emf"/><Relationship Id="rId35" Type="http://schemas.openxmlformats.org/officeDocument/2006/relationships/image" Target="media/image30.png"/><Relationship Id="rId43" Type="http://schemas.openxmlformats.org/officeDocument/2006/relationships/image" Target="media/image38.emf"/><Relationship Id="rId48" Type="http://schemas.openxmlformats.org/officeDocument/2006/relationships/image" Target="media/image43.emf"/><Relationship Id="rId56" Type="http://schemas.openxmlformats.org/officeDocument/2006/relationships/image" Target="media/image51.emf"/><Relationship Id="rId64" Type="http://schemas.openxmlformats.org/officeDocument/2006/relationships/chart" Target="charts/chart3.xml"/><Relationship Id="rId69" Type="http://schemas.openxmlformats.org/officeDocument/2006/relationships/chart" Target="charts/chart8.xml"/><Relationship Id="rId77" Type="http://schemas.openxmlformats.org/officeDocument/2006/relationships/chart" Target="charts/chart16.xml"/><Relationship Id="rId100" Type="http://schemas.openxmlformats.org/officeDocument/2006/relationships/chart" Target="charts/chart39.xml"/><Relationship Id="rId105" Type="http://schemas.openxmlformats.org/officeDocument/2006/relationships/chart" Target="charts/chart44.xml"/><Relationship Id="rId113" Type="http://schemas.openxmlformats.org/officeDocument/2006/relationships/chart" Target="charts/chart52.xml"/><Relationship Id="rId118" Type="http://schemas.openxmlformats.org/officeDocument/2006/relationships/chart" Target="charts/chart57.xml"/><Relationship Id="rId126" Type="http://schemas.openxmlformats.org/officeDocument/2006/relationships/chart" Target="charts/chart65.xml"/><Relationship Id="rId134" Type="http://schemas.openxmlformats.org/officeDocument/2006/relationships/chart" Target="charts/chart73.xml"/><Relationship Id="rId8" Type="http://schemas.openxmlformats.org/officeDocument/2006/relationships/image" Target="media/image3.emf"/><Relationship Id="rId51" Type="http://schemas.openxmlformats.org/officeDocument/2006/relationships/image" Target="media/image46.emf"/><Relationship Id="rId72" Type="http://schemas.openxmlformats.org/officeDocument/2006/relationships/chart" Target="charts/chart11.xml"/><Relationship Id="rId80" Type="http://schemas.openxmlformats.org/officeDocument/2006/relationships/chart" Target="charts/chart19.xml"/><Relationship Id="rId85" Type="http://schemas.openxmlformats.org/officeDocument/2006/relationships/chart" Target="charts/chart24.xml"/><Relationship Id="rId93" Type="http://schemas.openxmlformats.org/officeDocument/2006/relationships/chart" Target="charts/chart32.xml"/><Relationship Id="rId98" Type="http://schemas.openxmlformats.org/officeDocument/2006/relationships/chart" Target="charts/chart37.xml"/><Relationship Id="rId121" Type="http://schemas.openxmlformats.org/officeDocument/2006/relationships/chart" Target="charts/chart60.xml"/><Relationship Id="rId3" Type="http://schemas.openxmlformats.org/officeDocument/2006/relationships/settings" Target="settings.xml"/><Relationship Id="rId12" Type="http://schemas.openxmlformats.org/officeDocument/2006/relationships/image" Target="media/image7.emf"/><Relationship Id="rId17" Type="http://schemas.openxmlformats.org/officeDocument/2006/relationships/image" Target="media/image12.emf"/><Relationship Id="rId25" Type="http://schemas.openxmlformats.org/officeDocument/2006/relationships/image" Target="media/image20.emf"/><Relationship Id="rId33" Type="http://schemas.openxmlformats.org/officeDocument/2006/relationships/image" Target="media/image28.emf"/><Relationship Id="rId38" Type="http://schemas.openxmlformats.org/officeDocument/2006/relationships/image" Target="media/image33.emf"/><Relationship Id="rId46" Type="http://schemas.openxmlformats.org/officeDocument/2006/relationships/image" Target="media/image41.emf"/><Relationship Id="rId59" Type="http://schemas.openxmlformats.org/officeDocument/2006/relationships/image" Target="media/image54.emf"/><Relationship Id="rId67" Type="http://schemas.openxmlformats.org/officeDocument/2006/relationships/chart" Target="charts/chart6.xml"/><Relationship Id="rId103" Type="http://schemas.openxmlformats.org/officeDocument/2006/relationships/chart" Target="charts/chart42.xml"/><Relationship Id="rId108" Type="http://schemas.openxmlformats.org/officeDocument/2006/relationships/chart" Target="charts/chart47.xml"/><Relationship Id="rId116" Type="http://schemas.openxmlformats.org/officeDocument/2006/relationships/chart" Target="charts/chart55.xml"/><Relationship Id="rId124" Type="http://schemas.openxmlformats.org/officeDocument/2006/relationships/chart" Target="charts/chart63.xml"/><Relationship Id="rId129" Type="http://schemas.openxmlformats.org/officeDocument/2006/relationships/chart" Target="charts/chart68.xml"/><Relationship Id="rId137" Type="http://schemas.openxmlformats.org/officeDocument/2006/relationships/fontTable" Target="fontTable.xml"/><Relationship Id="rId20" Type="http://schemas.openxmlformats.org/officeDocument/2006/relationships/image" Target="media/image15.emf"/><Relationship Id="rId41" Type="http://schemas.openxmlformats.org/officeDocument/2006/relationships/image" Target="media/image36.emf"/><Relationship Id="rId54" Type="http://schemas.openxmlformats.org/officeDocument/2006/relationships/image" Target="media/image49.emf"/><Relationship Id="rId62" Type="http://schemas.openxmlformats.org/officeDocument/2006/relationships/image" Target="media/image57.emf"/><Relationship Id="rId70" Type="http://schemas.openxmlformats.org/officeDocument/2006/relationships/chart" Target="charts/chart9.xml"/><Relationship Id="rId75" Type="http://schemas.openxmlformats.org/officeDocument/2006/relationships/chart" Target="charts/chart14.xml"/><Relationship Id="rId83" Type="http://schemas.openxmlformats.org/officeDocument/2006/relationships/chart" Target="charts/chart22.xml"/><Relationship Id="rId88" Type="http://schemas.openxmlformats.org/officeDocument/2006/relationships/chart" Target="charts/chart27.xml"/><Relationship Id="rId91" Type="http://schemas.openxmlformats.org/officeDocument/2006/relationships/chart" Target="charts/chart30.xml"/><Relationship Id="rId96" Type="http://schemas.openxmlformats.org/officeDocument/2006/relationships/chart" Target="charts/chart35.xml"/><Relationship Id="rId111" Type="http://schemas.openxmlformats.org/officeDocument/2006/relationships/chart" Target="charts/chart50.xml"/><Relationship Id="rId132" Type="http://schemas.openxmlformats.org/officeDocument/2006/relationships/chart" Target="charts/chart7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emf"/><Relationship Id="rId23" Type="http://schemas.openxmlformats.org/officeDocument/2006/relationships/image" Target="media/image18.emf"/><Relationship Id="rId28" Type="http://schemas.openxmlformats.org/officeDocument/2006/relationships/image" Target="media/image23.emf"/><Relationship Id="rId36" Type="http://schemas.openxmlformats.org/officeDocument/2006/relationships/image" Target="media/image31.png"/><Relationship Id="rId49" Type="http://schemas.openxmlformats.org/officeDocument/2006/relationships/image" Target="media/image44.emf"/><Relationship Id="rId57" Type="http://schemas.openxmlformats.org/officeDocument/2006/relationships/image" Target="media/image52.emf"/><Relationship Id="rId106" Type="http://schemas.openxmlformats.org/officeDocument/2006/relationships/chart" Target="charts/chart45.xml"/><Relationship Id="rId114" Type="http://schemas.openxmlformats.org/officeDocument/2006/relationships/chart" Target="charts/chart53.xml"/><Relationship Id="rId119" Type="http://schemas.openxmlformats.org/officeDocument/2006/relationships/chart" Target="charts/chart58.xml"/><Relationship Id="rId127" Type="http://schemas.openxmlformats.org/officeDocument/2006/relationships/chart" Target="charts/chart66.xml"/><Relationship Id="rId10" Type="http://schemas.openxmlformats.org/officeDocument/2006/relationships/image" Target="media/image5.emf"/><Relationship Id="rId31" Type="http://schemas.openxmlformats.org/officeDocument/2006/relationships/image" Target="media/image26.emf"/><Relationship Id="rId44" Type="http://schemas.openxmlformats.org/officeDocument/2006/relationships/image" Target="media/image39.emf"/><Relationship Id="rId52" Type="http://schemas.openxmlformats.org/officeDocument/2006/relationships/image" Target="media/image47.emf"/><Relationship Id="rId60" Type="http://schemas.openxmlformats.org/officeDocument/2006/relationships/image" Target="media/image55.emf"/><Relationship Id="rId65" Type="http://schemas.openxmlformats.org/officeDocument/2006/relationships/chart" Target="charts/chart4.xml"/><Relationship Id="rId73" Type="http://schemas.openxmlformats.org/officeDocument/2006/relationships/chart" Target="charts/chart12.xml"/><Relationship Id="rId78" Type="http://schemas.openxmlformats.org/officeDocument/2006/relationships/chart" Target="charts/chart17.xml"/><Relationship Id="rId81" Type="http://schemas.openxmlformats.org/officeDocument/2006/relationships/chart" Target="charts/chart20.xml"/><Relationship Id="rId86" Type="http://schemas.openxmlformats.org/officeDocument/2006/relationships/chart" Target="charts/chart25.xml"/><Relationship Id="rId94" Type="http://schemas.openxmlformats.org/officeDocument/2006/relationships/chart" Target="charts/chart33.xml"/><Relationship Id="rId99" Type="http://schemas.openxmlformats.org/officeDocument/2006/relationships/chart" Target="charts/chart38.xml"/><Relationship Id="rId101" Type="http://schemas.openxmlformats.org/officeDocument/2006/relationships/chart" Target="charts/chart40.xml"/><Relationship Id="rId122" Type="http://schemas.openxmlformats.org/officeDocument/2006/relationships/chart" Target="charts/chart61.xml"/><Relationship Id="rId130" Type="http://schemas.openxmlformats.org/officeDocument/2006/relationships/chart" Target="charts/chart69.xml"/><Relationship Id="rId135" Type="http://schemas.openxmlformats.org/officeDocument/2006/relationships/chart" Target="charts/chart74.xml"/><Relationship Id="rId4" Type="http://schemas.openxmlformats.org/officeDocument/2006/relationships/webSettings" Target="webSettings.xml"/><Relationship Id="rId9" Type="http://schemas.openxmlformats.org/officeDocument/2006/relationships/image" Target="media/image4.emf"/><Relationship Id="rId13" Type="http://schemas.openxmlformats.org/officeDocument/2006/relationships/image" Target="media/image8.emf"/><Relationship Id="rId18" Type="http://schemas.openxmlformats.org/officeDocument/2006/relationships/image" Target="media/image13.emf"/><Relationship Id="rId39" Type="http://schemas.openxmlformats.org/officeDocument/2006/relationships/image" Target="media/image34.emf"/><Relationship Id="rId109" Type="http://schemas.openxmlformats.org/officeDocument/2006/relationships/chart" Target="charts/chart48.xml"/><Relationship Id="rId34" Type="http://schemas.openxmlformats.org/officeDocument/2006/relationships/image" Target="media/image29.emf"/><Relationship Id="rId50" Type="http://schemas.openxmlformats.org/officeDocument/2006/relationships/image" Target="media/image45.png"/><Relationship Id="rId55" Type="http://schemas.openxmlformats.org/officeDocument/2006/relationships/image" Target="media/image50.emf"/><Relationship Id="rId76" Type="http://schemas.openxmlformats.org/officeDocument/2006/relationships/chart" Target="charts/chart15.xml"/><Relationship Id="rId97" Type="http://schemas.openxmlformats.org/officeDocument/2006/relationships/chart" Target="charts/chart36.xml"/><Relationship Id="rId104" Type="http://schemas.openxmlformats.org/officeDocument/2006/relationships/chart" Target="charts/chart43.xml"/><Relationship Id="rId120" Type="http://schemas.openxmlformats.org/officeDocument/2006/relationships/chart" Target="charts/chart59.xml"/><Relationship Id="rId125" Type="http://schemas.openxmlformats.org/officeDocument/2006/relationships/chart" Target="charts/chart64.xml"/><Relationship Id="rId7" Type="http://schemas.openxmlformats.org/officeDocument/2006/relationships/chart" Target="charts/chart1.xml"/><Relationship Id="rId71" Type="http://schemas.openxmlformats.org/officeDocument/2006/relationships/chart" Target="charts/chart10.xml"/><Relationship Id="rId92" Type="http://schemas.openxmlformats.org/officeDocument/2006/relationships/chart" Target="charts/chart31.xml"/><Relationship Id="rId2" Type="http://schemas.openxmlformats.org/officeDocument/2006/relationships/styles" Target="styles.xml"/><Relationship Id="rId29" Type="http://schemas.openxmlformats.org/officeDocument/2006/relationships/image" Target="media/image24.emf"/><Relationship Id="rId24" Type="http://schemas.openxmlformats.org/officeDocument/2006/relationships/image" Target="media/image19.emf"/><Relationship Id="rId40" Type="http://schemas.openxmlformats.org/officeDocument/2006/relationships/image" Target="media/image35.emf"/><Relationship Id="rId45" Type="http://schemas.openxmlformats.org/officeDocument/2006/relationships/image" Target="media/image40.emf"/><Relationship Id="rId66" Type="http://schemas.openxmlformats.org/officeDocument/2006/relationships/chart" Target="charts/chart5.xml"/><Relationship Id="rId87" Type="http://schemas.openxmlformats.org/officeDocument/2006/relationships/chart" Target="charts/chart26.xml"/><Relationship Id="rId110" Type="http://schemas.openxmlformats.org/officeDocument/2006/relationships/chart" Target="charts/chart49.xml"/><Relationship Id="rId115" Type="http://schemas.openxmlformats.org/officeDocument/2006/relationships/chart" Target="charts/chart54.xml"/><Relationship Id="rId131" Type="http://schemas.openxmlformats.org/officeDocument/2006/relationships/chart" Target="charts/chart70.xml"/><Relationship Id="rId136" Type="http://schemas.openxmlformats.org/officeDocument/2006/relationships/hyperlink" Target="http://www.wb.org/ecuador/proyectos" TargetMode="External"/><Relationship Id="rId61" Type="http://schemas.openxmlformats.org/officeDocument/2006/relationships/image" Target="media/image56.emf"/><Relationship Id="rId82" Type="http://schemas.openxmlformats.org/officeDocument/2006/relationships/chart" Target="charts/chart21.xml"/><Relationship Id="rId19" Type="http://schemas.openxmlformats.org/officeDocument/2006/relationships/image" Target="media/image14.emf"/></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Public\Documents\Documentos\Investigacion%20Salud\SECTOR%20SALUD%20CENS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salud\GRAFICOS%20DE%20EVOLUCION%20DE%20A,P,R.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C:\Documents%20and%20Settings\ecadena\Escritorio\flash\salud\GRAFICOS%20DE%20EVOLUCION%20DE%20A,P,R.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Documents%20and%20Settings\ecadena\Escritorio\flash\salud\GRAFICOS%20DE%20EVOLUCION%20DE%20A,P,R.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Documents%20and%20Settings\ecadena\Escritorio\flash\salud\GRAFICOS%20DE%20EVOLUCION%20DE%20A,P,R.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C:\Documents%20and%20Settings\ecadena\Escritorio\flash\salud\GRAFICOS%20DE%20EVOLUCION%20DE%20A,P,R.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G:\salud\GRAFICOS%20DE%20EVOLUCION%20DE%20A,P,R.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3.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4.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5.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6.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7.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8.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49.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G:\salud\GRAFICOS%20DE%20EVOLUCION%20DE%20A,P,R.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1.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2.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3.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4.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5.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6.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7.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8.xml.rels><?xml version="1.0" encoding="UTF-8" standalone="yes"?>
<Relationships xmlns="http://schemas.openxmlformats.org/package/2006/relationships"><Relationship Id="rId1" Type="http://schemas.openxmlformats.org/officeDocument/2006/relationships/oleObject" Target="file:///F:\GRAFICOS%20DE%20EVOLUCION%20DE%20A,P,R%20ofi.xlsx" TargetMode="External"/></Relationships>
</file>

<file path=word/charts/_rels/chart59.xml.rels><?xml version="1.0" encoding="UTF-8" standalone="yes"?>
<Relationships xmlns="http://schemas.openxmlformats.org/package/2006/relationships"><Relationship Id="rId1" Type="http://schemas.openxmlformats.org/officeDocument/2006/relationships/oleObject" Target="file:///E:\GRAFICOS%20DE%20EVOLUCION%20DE%20A,P,R%20ofI%20PRES%20FINAL.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E:\GRAFICOS%20DE%20EVOLUCION%20DE%20A,P,R%20ofI%20PRES%20FINAL.xlsx" TargetMode="External"/></Relationships>
</file>

<file path=word/charts/_rels/chart61.xml.rels><?xml version="1.0" encoding="UTF-8" standalone="yes"?>
<Relationships xmlns="http://schemas.openxmlformats.org/package/2006/relationships"><Relationship Id="rId1" Type="http://schemas.openxmlformats.org/officeDocument/2006/relationships/oleObject" Target="file:///E:\GRAFICOS%20DE%20EVOLUCION%20DE%20A,P,R%20ofI%20PRES%20FINAL.xlsx" TargetMode="External"/></Relationships>
</file>

<file path=word/charts/_rels/chart62.xml.rels><?xml version="1.0" encoding="UTF-8" standalone="yes"?>
<Relationships xmlns="http://schemas.openxmlformats.org/package/2006/relationships"><Relationship Id="rId1" Type="http://schemas.openxmlformats.org/officeDocument/2006/relationships/oleObject" Target="file:///E:\GRAFICOS%20DE%20EVOLUCION%20DE%20A,P,R%20ofI%20PRES%20FINAL.xlsx" TargetMode="External"/></Relationships>
</file>

<file path=word/charts/_rels/chart63.xml.rels><?xml version="1.0" encoding="UTF-8" standalone="yes"?>
<Relationships xmlns="http://schemas.openxmlformats.org/package/2006/relationships"><Relationship Id="rId1" Type="http://schemas.openxmlformats.org/officeDocument/2006/relationships/oleObject" Target="file:///E:\GRAFICOS%20DE%20EVOLUCION%20DE%20A,P,R%20ofI%20PRES%20FINAL.xlsx" TargetMode="External"/></Relationships>
</file>

<file path=word/charts/_rels/chart64.xml.rels><?xml version="1.0" encoding="UTF-8" standalone="yes"?>
<Relationships xmlns="http://schemas.openxmlformats.org/package/2006/relationships"><Relationship Id="rId1" Type="http://schemas.openxmlformats.org/officeDocument/2006/relationships/oleObject" Target="file:///E:\GRAFICOS%20DE%20EVOLUCION%20DE%20A,P,R%20ofI%20PRES%20FINAL.xlsx" TargetMode="External"/></Relationships>
</file>

<file path=word/charts/_rels/chart65.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66.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67.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68.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69.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71.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72.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73.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74.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G:\GRAFICOS%20DE%20EVOLUCION%20DE%20A,P,R%20ofI%20PRES%20FINAL.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acinto%20Cadena\Desktop\SALUD%20HOY\GRAFICOS%20DE%20EVOLUCION%20DE%20A,P,R.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tx>
        <c:rich>
          <a:bodyPr/>
          <a:lstStyle/>
          <a:p>
            <a:pPr>
              <a:defRPr lang="es-ES" sz="900"/>
            </a:pPr>
            <a:r>
              <a:rPr lang="es-ES" sz="900"/>
              <a:t>CONCENTRACIÓN ESTABLECIMIENTOS DE SALUD EN  POLOS DE CONCENTRACIÓN DE CAPITAL</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8812539736880714E-4"/>
          <c:y val="0.21244528318257716"/>
          <c:w val="0.75822996038538726"/>
          <c:h val="0.46728270536430921"/>
        </c:manualLayout>
      </c:layout>
      <c:pie3DChart>
        <c:varyColors val="1"/>
        <c:ser>
          <c:idx val="1"/>
          <c:order val="1"/>
          <c:explosion val="6"/>
          <c:dLbls>
            <c:spPr>
              <a:noFill/>
              <a:ln>
                <a:noFill/>
              </a:ln>
              <a:effectLst/>
            </c:spPr>
            <c:txPr>
              <a:bodyPr/>
              <a:lstStyle/>
              <a:p>
                <a:pPr>
                  <a:defRPr lang="es-ES" sz="900"/>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cat>
            <c:strRef>
              <c:f>ESTABLECIMIENTOS!$G$66:$G$67</c:f>
              <c:strCache>
                <c:ptCount val="2"/>
                <c:pt idx="0">
                  <c:v>POLOS ECONÓMICOS</c:v>
                </c:pt>
                <c:pt idx="1">
                  <c:v>RESTO DEL PAÍS</c:v>
                </c:pt>
              </c:strCache>
            </c:strRef>
          </c:cat>
          <c:val>
            <c:numRef>
              <c:f>ESTABLECIMIENTOS!$H$66:$H$67</c:f>
              <c:numCache>
                <c:formatCode>General</c:formatCode>
                <c:ptCount val="2"/>
                <c:pt idx="0">
                  <c:v>9127</c:v>
                </c:pt>
                <c:pt idx="1">
                  <c:v>6782</c:v>
                </c:pt>
              </c:numCache>
            </c:numRef>
          </c:val>
        </c:ser>
        <c:ser>
          <c:idx val="0"/>
          <c:order val="0"/>
          <c:explosion val="32"/>
          <c:dPt>
            <c:idx val="0"/>
            <c:bubble3D val="0"/>
            <c:explosion val="0"/>
          </c:dPt>
          <c:dLbls>
            <c:spPr>
              <a:noFill/>
              <a:ln>
                <a:noFill/>
              </a:ln>
              <a:effectLst/>
            </c:spPr>
            <c:txPr>
              <a:bodyPr/>
              <a:lstStyle/>
              <a:p>
                <a:pPr>
                  <a:defRPr lang="es-ES"/>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cat>
            <c:multiLvlStrRef>
              <c:f>#REF!</c:f>
            </c:multiLvlStrRef>
          </c:cat>
          <c:val>
            <c:numRef>
              <c:f>#REF!</c:f>
              <c:numCache>
                <c:formatCode>General</c:formatCode>
                <c:ptCount val="1"/>
                <c:pt idx="0">
                  <c:v>1</c:v>
                </c:pt>
              </c:numCache>
            </c:numRef>
          </c:val>
        </c:ser>
        <c:dLbls>
          <c:showLegendKey val="0"/>
          <c:showVal val="0"/>
          <c:showCatName val="0"/>
          <c:showSerName val="0"/>
          <c:showPercent val="1"/>
          <c:showBubbleSize val="0"/>
          <c:showLeaderLines val="0"/>
        </c:dLbls>
      </c:pie3DChart>
    </c:plotArea>
    <c:legend>
      <c:legendPos val="t"/>
      <c:layout>
        <c:manualLayout>
          <c:xMode val="edge"/>
          <c:yMode val="edge"/>
          <c:x val="0.59745978680039291"/>
          <c:y val="0.36898071625344431"/>
          <c:w val="0.36125651891279009"/>
          <c:h val="7.9666384677122032E-2"/>
        </c:manualLayout>
      </c:layout>
      <c:overlay val="0"/>
      <c:txPr>
        <a:bodyPr/>
        <a:lstStyle/>
        <a:p>
          <a:pPr>
            <a:defRPr lang="es-ES"/>
          </a:pPr>
          <a:endParaRPr lang="es-EC"/>
        </a:p>
      </c:txPr>
    </c:legend>
    <c:plotVisOnly val="1"/>
    <c:dispBlanksAs val="zero"/>
    <c:showDLblsOverMax val="0"/>
  </c:chart>
  <c:txPr>
    <a:bodyPr/>
    <a:lstStyle/>
    <a:p>
      <a:pPr>
        <a:defRPr sz="700"/>
      </a:pPr>
      <a:endParaRPr lang="es-EC"/>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RENTABILIDAD 2009</a:t>
            </a:r>
          </a:p>
        </c:rich>
      </c:tx>
      <c:layout>
        <c:manualLayout>
          <c:xMode val="edge"/>
          <c:yMode val="edge"/>
          <c:x val="0.18276713958205215"/>
          <c:y val="8.0729166666666741E-2"/>
        </c:manualLayout>
      </c:layout>
      <c:overlay val="0"/>
    </c:title>
    <c:autoTitleDeleted val="0"/>
    <c:view3D>
      <c:rotX val="15"/>
      <c:rotY val="20"/>
      <c:rAngAx val="0"/>
    </c:view3D>
    <c:floor>
      <c:thickness val="0"/>
    </c:floor>
    <c:sideWall>
      <c:thickness val="0"/>
    </c:sideWall>
    <c:backWall>
      <c:thickness val="0"/>
    </c:backWall>
    <c:plotArea>
      <c:layout/>
      <c:bar3DChart>
        <c:barDir val="col"/>
        <c:grouping val="standar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'clinicas y hos'!$C$174:$C$189</c:f>
              <c:strCache>
                <c:ptCount val="16"/>
                <c:pt idx="0">
                  <c:v>CLIN.  MA. AUXILIADORA</c:v>
                </c:pt>
                <c:pt idx="1">
                  <c:v>CENTRO CEFAVIS  </c:v>
                </c:pt>
                <c:pt idx="2">
                  <c:v>CLINICA  GALENOS</c:v>
                </c:pt>
                <c:pt idx="3">
                  <c:v>CLINICA MODERNA </c:v>
                </c:pt>
                <c:pt idx="4">
                  <c:v>CLINICA  OLIMPUS </c:v>
                </c:pt>
                <c:pt idx="5">
                  <c:v>CLINICA SAN GABRIEL  </c:v>
                </c:pt>
                <c:pt idx="6">
                  <c:v>CLIGEVISA </c:v>
                </c:pt>
                <c:pt idx="7">
                  <c:v>CLINICA CONOCOTO</c:v>
                </c:pt>
                <c:pt idx="8">
                  <c:v>CLINICA  CEMEDSSO </c:v>
                </c:pt>
                <c:pt idx="9">
                  <c:v>HOSPITAL INGLES .</c:v>
                </c:pt>
                <c:pt idx="10">
                  <c:v>CENTROMAMARIA </c:v>
                </c:pt>
                <c:pt idx="11">
                  <c:v>HOS. METROPOLITANO</c:v>
                </c:pt>
                <c:pt idx="12">
                  <c:v>CLIN. INTERNACIONAL</c:v>
                </c:pt>
                <c:pt idx="13">
                  <c:v>NOVACLINICA</c:v>
                </c:pt>
                <c:pt idx="14">
                  <c:v>TECOCEL S.A.  </c:v>
                </c:pt>
                <c:pt idx="15">
                  <c:v>CLINICA INGLATERRA</c:v>
                </c:pt>
              </c:strCache>
            </c:strRef>
          </c:cat>
          <c:val>
            <c:numRef>
              <c:f>'clinicas y hos'!$F$174:$F$189</c:f>
              <c:numCache>
                <c:formatCode>0.00</c:formatCode>
                <c:ptCount val="16"/>
                <c:pt idx="0">
                  <c:v>2.5401292387669121E-2</c:v>
                </c:pt>
                <c:pt idx="1">
                  <c:v>-0.30191318131417422</c:v>
                </c:pt>
                <c:pt idx="2">
                  <c:v>0.59274038761924397</c:v>
                </c:pt>
                <c:pt idx="3">
                  <c:v>1.9024052589752261</c:v>
                </c:pt>
                <c:pt idx="4">
                  <c:v>0.34613520896949801</c:v>
                </c:pt>
                <c:pt idx="5">
                  <c:v>1.4530711647023611</c:v>
                </c:pt>
                <c:pt idx="6" formatCode="General">
                  <c:v>0</c:v>
                </c:pt>
                <c:pt idx="7">
                  <c:v>7.6293213478555943E-2</c:v>
                </c:pt>
                <c:pt idx="8" formatCode="General">
                  <c:v>0</c:v>
                </c:pt>
                <c:pt idx="9">
                  <c:v>2.113845568281814</c:v>
                </c:pt>
                <c:pt idx="10" formatCode="General">
                  <c:v>0</c:v>
                </c:pt>
                <c:pt idx="11">
                  <c:v>29.778771849553443</c:v>
                </c:pt>
                <c:pt idx="12">
                  <c:v>9.9262572831844835</c:v>
                </c:pt>
                <c:pt idx="13">
                  <c:v>2.2511251550495182</c:v>
                </c:pt>
                <c:pt idx="14">
                  <c:v>51.835866799112274</c:v>
                </c:pt>
                <c:pt idx="15" formatCode="General">
                  <c:v>0</c:v>
                </c:pt>
              </c:numCache>
            </c:numRef>
          </c:val>
        </c:ser>
        <c:dLbls>
          <c:showLegendKey val="0"/>
          <c:showVal val="0"/>
          <c:showCatName val="0"/>
          <c:showSerName val="0"/>
          <c:showPercent val="0"/>
          <c:showBubbleSize val="0"/>
        </c:dLbls>
        <c:gapWidth val="75"/>
        <c:shape val="box"/>
        <c:axId val="325772528"/>
        <c:axId val="325772920"/>
        <c:axId val="359292808"/>
      </c:bar3DChart>
      <c:catAx>
        <c:axId val="325772528"/>
        <c:scaling>
          <c:orientation val="minMax"/>
        </c:scaling>
        <c:delete val="0"/>
        <c:axPos val="b"/>
        <c:numFmt formatCode="General" sourceLinked="0"/>
        <c:majorTickMark val="none"/>
        <c:minorTickMark val="none"/>
        <c:tickLblPos val="nextTo"/>
        <c:txPr>
          <a:bodyPr/>
          <a:lstStyle/>
          <a:p>
            <a:pPr>
              <a:defRPr lang="es-ES"/>
            </a:pPr>
            <a:endParaRPr lang="es-EC"/>
          </a:p>
        </c:txPr>
        <c:crossAx val="325772920"/>
        <c:crosses val="autoZero"/>
        <c:auto val="1"/>
        <c:lblAlgn val="ctr"/>
        <c:lblOffset val="100"/>
        <c:noMultiLvlLbl val="0"/>
      </c:catAx>
      <c:valAx>
        <c:axId val="325772920"/>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EC"/>
          </a:p>
        </c:txPr>
        <c:crossAx val="325772528"/>
        <c:crosses val="autoZero"/>
        <c:crossBetween val="between"/>
      </c:valAx>
      <c:serAx>
        <c:axId val="359292808"/>
        <c:scaling>
          <c:orientation val="minMax"/>
        </c:scaling>
        <c:delete val="1"/>
        <c:axPos val="b"/>
        <c:majorTickMark val="none"/>
        <c:minorTickMark val="none"/>
        <c:tickLblPos val="none"/>
        <c:crossAx val="325772920"/>
        <c:crosses val="autoZero"/>
      </c:serAx>
    </c:plotArea>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5.6140340536843795E-2"/>
                  <c:y val="-7.3461891643709816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4.912279796973852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6140340536843795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122797969738528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5.3801159681142012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61403405368439E-2"/>
                  <c:y val="-6.7339289430850334E-17"/>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8479521392545718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3801159681142012E-2"/>
                  <c:y val="-3.6730945821855021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9122797969738528E-2"/>
                  <c:y val="-1.101928374655650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1461978825440215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3801159681142012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13801167048640806"/>
                  <c:y val="3.3669644715425062E-17"/>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6140340536843795E-2"/>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6140340536843795E-2"/>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0.30643269209693902"/>
                  <c:y val="-3.6730945821855021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'clinicas y hos'!$C$174:$C$189</c:f>
              <c:strCache>
                <c:ptCount val="16"/>
                <c:pt idx="0">
                  <c:v>CLIN.  MA. AUXILIADORA</c:v>
                </c:pt>
                <c:pt idx="1">
                  <c:v>CENTRO CEFAVIS  </c:v>
                </c:pt>
                <c:pt idx="2">
                  <c:v>CLINICA  GALENOS</c:v>
                </c:pt>
                <c:pt idx="3">
                  <c:v>CLINICA MODERNA </c:v>
                </c:pt>
                <c:pt idx="4">
                  <c:v>CLINICA  OLIMPUS </c:v>
                </c:pt>
                <c:pt idx="5">
                  <c:v>CLINICA SAN GABRIEL  </c:v>
                </c:pt>
                <c:pt idx="6">
                  <c:v>CLIGEVISA </c:v>
                </c:pt>
                <c:pt idx="7">
                  <c:v>CLINICA CONOCOTO</c:v>
                </c:pt>
                <c:pt idx="8">
                  <c:v>CLINICA  CEMEDSSO </c:v>
                </c:pt>
                <c:pt idx="9">
                  <c:v>HOSPITAL INGLES .</c:v>
                </c:pt>
                <c:pt idx="10">
                  <c:v>CENTROMAMARIA </c:v>
                </c:pt>
                <c:pt idx="11">
                  <c:v>HOS. METROPOLITANO</c:v>
                </c:pt>
                <c:pt idx="12">
                  <c:v>CLIN. INTERNACIONAL</c:v>
                </c:pt>
                <c:pt idx="13">
                  <c:v>NOVACLINICA</c:v>
                </c:pt>
                <c:pt idx="14">
                  <c:v>TECOCEL S.A.  </c:v>
                </c:pt>
                <c:pt idx="15">
                  <c:v>CLINICA INGLATERRA</c:v>
                </c:pt>
              </c:strCache>
            </c:strRef>
          </c:cat>
          <c:val>
            <c:numRef>
              <c:f>'clinicas y hos'!$G$174:$G$189</c:f>
              <c:numCache>
                <c:formatCode>0.00</c:formatCode>
                <c:ptCount val="16"/>
                <c:pt idx="0">
                  <c:v>6.4522565496385618E-4</c:v>
                </c:pt>
                <c:pt idx="1">
                  <c:v>9.1151569051245121E-2</c:v>
                </c:pt>
                <c:pt idx="2">
                  <c:v>0.35134116711501212</c:v>
                </c:pt>
                <c:pt idx="3">
                  <c:v>3.619145769376594</c:v>
                </c:pt>
                <c:pt idx="4">
                  <c:v>0.119809582888358</c:v>
                </c:pt>
                <c:pt idx="5">
                  <c:v>2.1114158096894768</c:v>
                </c:pt>
                <c:pt idx="6">
                  <c:v>0</c:v>
                </c:pt>
                <c:pt idx="7">
                  <c:v>5.8206544228845119E-3</c:v>
                </c:pt>
                <c:pt idx="8">
                  <c:v>0</c:v>
                </c:pt>
                <c:pt idx="9">
                  <c:v>4.4683430865446736</c:v>
                </c:pt>
                <c:pt idx="10">
                  <c:v>0</c:v>
                </c:pt>
                <c:pt idx="11">
                  <c:v>886.77525286775767</c:v>
                </c:pt>
                <c:pt idx="12">
                  <c:v>98.530583651973117</c:v>
                </c:pt>
                <c:pt idx="13">
                  <c:v>5.067564463696705</c:v>
                </c:pt>
                <c:pt idx="14">
                  <c:v>2686.957086815321</c:v>
                </c:pt>
                <c:pt idx="15" formatCode="General">
                  <c:v>0</c:v>
                </c:pt>
              </c:numCache>
            </c:numRef>
          </c:val>
        </c:ser>
        <c:dLbls>
          <c:showLegendKey val="0"/>
          <c:showVal val="0"/>
          <c:showCatName val="0"/>
          <c:showSerName val="0"/>
          <c:showPercent val="0"/>
          <c:showBubbleSize val="0"/>
        </c:dLbls>
        <c:gapWidth val="150"/>
        <c:shape val="box"/>
        <c:axId val="325778800"/>
        <c:axId val="325775664"/>
        <c:axId val="0"/>
      </c:bar3DChart>
      <c:catAx>
        <c:axId val="325778800"/>
        <c:scaling>
          <c:orientation val="minMax"/>
        </c:scaling>
        <c:delete val="0"/>
        <c:axPos val="l"/>
        <c:numFmt formatCode="General" sourceLinked="0"/>
        <c:majorTickMark val="out"/>
        <c:minorTickMark val="none"/>
        <c:tickLblPos val="nextTo"/>
        <c:txPr>
          <a:bodyPr/>
          <a:lstStyle/>
          <a:p>
            <a:pPr>
              <a:defRPr lang="es-ES"/>
            </a:pPr>
            <a:endParaRPr lang="es-EC"/>
          </a:p>
        </c:txPr>
        <c:crossAx val="325775664"/>
        <c:crosses val="autoZero"/>
        <c:auto val="1"/>
        <c:lblAlgn val="ctr"/>
        <c:lblOffset val="100"/>
        <c:noMultiLvlLbl val="0"/>
      </c:catAx>
      <c:valAx>
        <c:axId val="325775664"/>
        <c:scaling>
          <c:orientation val="minMax"/>
        </c:scaling>
        <c:delete val="0"/>
        <c:axPos val="b"/>
        <c:majorGridlines/>
        <c:numFmt formatCode="0.00" sourceLinked="1"/>
        <c:majorTickMark val="out"/>
        <c:minorTickMark val="none"/>
        <c:tickLblPos val="nextTo"/>
        <c:txPr>
          <a:bodyPr/>
          <a:lstStyle/>
          <a:p>
            <a:pPr>
              <a:defRPr lang="es-ES"/>
            </a:pPr>
            <a:endParaRPr lang="es-EC"/>
          </a:p>
        </c:txPr>
        <c:crossAx val="325778800"/>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DE CLINICAS Y HOSPITALES DE QUITO 2009</a:t>
            </a:r>
          </a:p>
        </c:rich>
      </c:tx>
      <c:overlay val="0"/>
    </c:title>
    <c:autoTitleDeleted val="0"/>
    <c:plotArea>
      <c:layout/>
      <c:pieChart>
        <c:varyColors val="1"/>
        <c:ser>
          <c:idx val="0"/>
          <c:order val="0"/>
          <c:explosion val="25"/>
          <c:dLbls>
            <c:spPr>
              <a:noFill/>
              <a:ln>
                <a:noFill/>
              </a:ln>
              <a:effectLst/>
            </c:spPr>
            <c:txPr>
              <a:bodyPr/>
              <a:lstStyle/>
              <a:p>
                <a:pPr>
                  <a:defRPr lang="es-ES" sz="14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'clinicas y hos'!$H$191:$I$191</c:f>
              <c:numCache>
                <c:formatCode>0%</c:formatCode>
                <c:ptCount val="2"/>
                <c:pt idx="0">
                  <c:v>0.93259097236031019</c:v>
                </c:pt>
                <c:pt idx="1">
                  <c:v>6.7409027639689811E-2</c:v>
                </c:pt>
              </c:numCache>
            </c:numRef>
          </c:val>
        </c:ser>
        <c:dLbls>
          <c:showLegendKey val="0"/>
          <c:showVal val="0"/>
          <c:showCatName val="0"/>
          <c:showSerName val="0"/>
          <c:showPercent val="1"/>
          <c:showBubbleSize val="0"/>
          <c:showLeaderLines val="1"/>
        </c:dLbls>
        <c:firstSliceAng val="0"/>
      </c:pieChart>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8"/>
    </mc:Choice>
    <mc:Fallback>
      <c:style val="38"/>
    </mc:Fallback>
  </mc:AlternateContent>
  <c:chart>
    <c:title>
      <c:tx>
        <c:rich>
          <a:bodyPr/>
          <a:lstStyle/>
          <a:p>
            <a:pPr>
              <a:defRPr lang="es-ES"/>
            </a:pPr>
            <a:r>
              <a:rPr lang="en-US"/>
              <a:t>PORCENTAJE DE RENTABILIDAD 2010</a:t>
            </a:r>
          </a:p>
        </c:rich>
      </c:tx>
      <c:layout>
        <c:manualLayout>
          <c:xMode val="edge"/>
          <c:yMode val="edge"/>
          <c:x val="0.19202039464106305"/>
          <c:y val="2.6666666666666713E-2"/>
        </c:manualLayout>
      </c:layout>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14533904326053801"/>
          <c:y val="0.12686740546320605"/>
          <c:w val="0.78891741674792182"/>
          <c:h val="0.57178526295324217"/>
        </c:manualLayout>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'clinicas y hos'!$C$174:$C$189</c:f>
              <c:strCache>
                <c:ptCount val="16"/>
                <c:pt idx="0">
                  <c:v>CLIN.  MA. AUXILIADORA</c:v>
                </c:pt>
                <c:pt idx="1">
                  <c:v>CENTRO CEFAVIS  </c:v>
                </c:pt>
                <c:pt idx="2">
                  <c:v>CLINICA  GALENOS</c:v>
                </c:pt>
                <c:pt idx="3">
                  <c:v>CLINICA MODERNA </c:v>
                </c:pt>
                <c:pt idx="4">
                  <c:v>CLINICA  OLIMPUS </c:v>
                </c:pt>
                <c:pt idx="5">
                  <c:v>CLINICA SAN GABRIEL  </c:v>
                </c:pt>
                <c:pt idx="6">
                  <c:v>CLIGEVISA </c:v>
                </c:pt>
                <c:pt idx="7">
                  <c:v>CLINICA CONOCOTO</c:v>
                </c:pt>
                <c:pt idx="8">
                  <c:v>CLINICA  CEMEDSSO </c:v>
                </c:pt>
                <c:pt idx="9">
                  <c:v>HOSPITAL INGLES .</c:v>
                </c:pt>
                <c:pt idx="10">
                  <c:v>CENTROMAMARIA </c:v>
                </c:pt>
                <c:pt idx="11">
                  <c:v>HOS. METROPOLITANO</c:v>
                </c:pt>
                <c:pt idx="12">
                  <c:v>CLIN. INTERNACIONAL</c:v>
                </c:pt>
                <c:pt idx="13">
                  <c:v>NOVACLINICA</c:v>
                </c:pt>
                <c:pt idx="14">
                  <c:v>TECOCEL S.A.  </c:v>
                </c:pt>
                <c:pt idx="15">
                  <c:v>CLINICA INGLATERRA</c:v>
                </c:pt>
              </c:strCache>
            </c:strRef>
          </c:cat>
          <c:val>
            <c:numRef>
              <c:f>'clinicas y hos'!$J$174:$J$189</c:f>
              <c:numCache>
                <c:formatCode>0.00</c:formatCode>
                <c:ptCount val="16"/>
                <c:pt idx="0">
                  <c:v>0.26927583072394601</c:v>
                </c:pt>
                <c:pt idx="1">
                  <c:v>0.21133311646814001</c:v>
                </c:pt>
                <c:pt idx="2">
                  <c:v>0.60842882274316124</c:v>
                </c:pt>
                <c:pt idx="3">
                  <c:v>1.1472815014012478</c:v>
                </c:pt>
                <c:pt idx="4">
                  <c:v>7.5619064579723186E-2</c:v>
                </c:pt>
                <c:pt idx="5">
                  <c:v>1.650260011362072</c:v>
                </c:pt>
                <c:pt idx="6">
                  <c:v>0.14714650846264501</c:v>
                </c:pt>
                <c:pt idx="7">
                  <c:v>0.12123733743991602</c:v>
                </c:pt>
                <c:pt idx="8">
                  <c:v>1.0574579658793015</c:v>
                </c:pt>
                <c:pt idx="9">
                  <c:v>9.9374342368697075</c:v>
                </c:pt>
                <c:pt idx="10">
                  <c:v>0.56171936249601417</c:v>
                </c:pt>
                <c:pt idx="11">
                  <c:v>24.789652604227108</c:v>
                </c:pt>
                <c:pt idx="12">
                  <c:v>8.8534473586525646</c:v>
                </c:pt>
                <c:pt idx="13">
                  <c:v>10.73020024439499</c:v>
                </c:pt>
                <c:pt idx="14">
                  <c:v>39.839506034299447</c:v>
                </c:pt>
                <c:pt idx="15">
                  <c:v>0</c:v>
                </c:pt>
              </c:numCache>
            </c:numRef>
          </c:val>
        </c:ser>
        <c:dLbls>
          <c:showLegendKey val="0"/>
          <c:showVal val="0"/>
          <c:showCatName val="0"/>
          <c:showSerName val="0"/>
          <c:showPercent val="0"/>
          <c:showBubbleSize val="0"/>
        </c:dLbls>
        <c:gapWidth val="150"/>
        <c:shape val="cylinder"/>
        <c:axId val="225934752"/>
        <c:axId val="251416696"/>
        <c:axId val="0"/>
      </c:bar3DChart>
      <c:catAx>
        <c:axId val="225934752"/>
        <c:scaling>
          <c:orientation val="minMax"/>
        </c:scaling>
        <c:delete val="0"/>
        <c:axPos val="b"/>
        <c:numFmt formatCode="General" sourceLinked="0"/>
        <c:majorTickMark val="none"/>
        <c:minorTickMark val="none"/>
        <c:tickLblPos val="nextTo"/>
        <c:txPr>
          <a:bodyPr/>
          <a:lstStyle/>
          <a:p>
            <a:pPr>
              <a:defRPr lang="es-ES"/>
            </a:pPr>
            <a:endParaRPr lang="es-EC"/>
          </a:p>
        </c:txPr>
        <c:crossAx val="251416696"/>
        <c:crosses val="autoZero"/>
        <c:auto val="1"/>
        <c:lblAlgn val="ctr"/>
        <c:lblOffset val="100"/>
        <c:noMultiLvlLbl val="0"/>
      </c:catAx>
      <c:valAx>
        <c:axId val="251416696"/>
        <c:scaling>
          <c:orientation val="minMax"/>
        </c:scaling>
        <c:delete val="0"/>
        <c:axPos val="l"/>
        <c:majorGridlines/>
        <c:numFmt formatCode="0.00" sourceLinked="1"/>
        <c:majorTickMark val="none"/>
        <c:minorTickMark val="none"/>
        <c:tickLblPos val="nextTo"/>
        <c:txPr>
          <a:bodyPr/>
          <a:lstStyle/>
          <a:p>
            <a:pPr>
              <a:defRPr lang="es-ES"/>
            </a:pPr>
            <a:endParaRPr lang="es-EC"/>
          </a:p>
        </c:txPr>
        <c:crossAx val="22593475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lang="es-ES"/>
            </a:pPr>
            <a:r>
              <a:rPr lang="en-US"/>
              <a:t>CONCENTRACIÓN DE RENTABILIDAD 2010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'clinicas y hos'!$C$174:$C$189</c:f>
              <c:strCache>
                <c:ptCount val="16"/>
                <c:pt idx="0">
                  <c:v>CLIN.  MA. AUXILIADORA</c:v>
                </c:pt>
                <c:pt idx="1">
                  <c:v>CENTRO CEFAVIS  </c:v>
                </c:pt>
                <c:pt idx="2">
                  <c:v>CLINICA  GALENOS</c:v>
                </c:pt>
                <c:pt idx="3">
                  <c:v>CLINICA MODERNA </c:v>
                </c:pt>
                <c:pt idx="4">
                  <c:v>CLINICA  OLIMPUS </c:v>
                </c:pt>
                <c:pt idx="5">
                  <c:v>CLINICA SAN GABRIEL  </c:v>
                </c:pt>
                <c:pt idx="6">
                  <c:v>CLIGEVISA </c:v>
                </c:pt>
                <c:pt idx="7">
                  <c:v>CLINICA CONOCOTO</c:v>
                </c:pt>
                <c:pt idx="8">
                  <c:v>CLINICA  CEMEDSSO </c:v>
                </c:pt>
                <c:pt idx="9">
                  <c:v>HOSPITAL INGLES .</c:v>
                </c:pt>
                <c:pt idx="10">
                  <c:v>CENTROMAMARIA </c:v>
                </c:pt>
                <c:pt idx="11">
                  <c:v>HOS. METROPOLITANO</c:v>
                </c:pt>
                <c:pt idx="12">
                  <c:v>CLIN. INTERNACIONAL</c:v>
                </c:pt>
                <c:pt idx="13">
                  <c:v>NOVACLINICA</c:v>
                </c:pt>
                <c:pt idx="14">
                  <c:v>TECOCEL S.A.  </c:v>
                </c:pt>
                <c:pt idx="15">
                  <c:v>CLINICA INGLATERRA</c:v>
                </c:pt>
              </c:strCache>
            </c:strRef>
          </c:cat>
          <c:val>
            <c:numRef>
              <c:f>'clinicas y hos'!$K$174:$K$189</c:f>
              <c:numCache>
                <c:formatCode>0.00</c:formatCode>
                <c:ptCount val="16"/>
                <c:pt idx="0">
                  <c:v>7.2509473012071113E-2</c:v>
                </c:pt>
                <c:pt idx="1">
                  <c:v>4.4661686116136627E-2</c:v>
                </c:pt>
                <c:pt idx="2">
                  <c:v>0.3701856323446282</c:v>
                </c:pt>
                <c:pt idx="3">
                  <c:v>1.3162548434574979</c:v>
                </c:pt>
                <c:pt idx="4">
                  <c:v>5.7182429279123512E-3</c:v>
                </c:pt>
                <c:pt idx="5">
                  <c:v>2.7233581051007447</c:v>
                </c:pt>
                <c:pt idx="6">
                  <c:v>2.1652094952747308E-2</c:v>
                </c:pt>
                <c:pt idx="7">
                  <c:v>1.4698491989520099E-2</c:v>
                </c:pt>
                <c:pt idx="8">
                  <c:v>1.1182173496015908</c:v>
                </c:pt>
                <c:pt idx="9">
                  <c:v>98.752599212109828</c:v>
                </c:pt>
                <c:pt idx="10">
                  <c:v>0.3155286422029282</c:v>
                </c:pt>
                <c:pt idx="11">
                  <c:v>614.52687623826671</c:v>
                </c:pt>
                <c:pt idx="12">
                  <c:v>78.383530132431659</c:v>
                </c:pt>
                <c:pt idx="13">
                  <c:v>115.13719728481432</c:v>
                </c:pt>
                <c:pt idx="14">
                  <c:v>1587.1862410569815</c:v>
                </c:pt>
                <c:pt idx="15">
                  <c:v>0</c:v>
                </c:pt>
              </c:numCache>
            </c:numRef>
          </c:val>
        </c:ser>
        <c:dLbls>
          <c:showLegendKey val="0"/>
          <c:showVal val="0"/>
          <c:showCatName val="0"/>
          <c:showSerName val="0"/>
          <c:showPercent val="0"/>
          <c:showBubbleSize val="0"/>
        </c:dLbls>
        <c:gapWidth val="75"/>
        <c:shape val="cylinder"/>
        <c:axId val="370610144"/>
        <c:axId val="370608576"/>
        <c:axId val="0"/>
      </c:bar3DChart>
      <c:catAx>
        <c:axId val="370610144"/>
        <c:scaling>
          <c:orientation val="minMax"/>
        </c:scaling>
        <c:delete val="0"/>
        <c:axPos val="l"/>
        <c:numFmt formatCode="General" sourceLinked="0"/>
        <c:majorTickMark val="none"/>
        <c:minorTickMark val="none"/>
        <c:tickLblPos val="nextTo"/>
        <c:txPr>
          <a:bodyPr/>
          <a:lstStyle/>
          <a:p>
            <a:pPr>
              <a:defRPr lang="es-ES" sz="1100">
                <a:latin typeface="+mj-lt"/>
              </a:defRPr>
            </a:pPr>
            <a:endParaRPr lang="es-EC"/>
          </a:p>
        </c:txPr>
        <c:crossAx val="370608576"/>
        <c:crosses val="autoZero"/>
        <c:auto val="1"/>
        <c:lblAlgn val="ctr"/>
        <c:lblOffset val="100"/>
        <c:noMultiLvlLbl val="0"/>
      </c:catAx>
      <c:valAx>
        <c:axId val="370608576"/>
        <c:scaling>
          <c:orientation val="minMax"/>
        </c:scaling>
        <c:delete val="0"/>
        <c:axPos val="b"/>
        <c:majorGridlines/>
        <c:numFmt formatCode="0.00" sourceLinked="1"/>
        <c:majorTickMark val="none"/>
        <c:minorTickMark val="none"/>
        <c:tickLblPos val="nextTo"/>
        <c:txPr>
          <a:bodyPr/>
          <a:lstStyle/>
          <a:p>
            <a:pPr>
              <a:defRPr lang="es-ES"/>
            </a:pPr>
            <a:endParaRPr lang="es-EC"/>
          </a:p>
        </c:txPr>
        <c:crossAx val="370610144"/>
        <c:crosses val="autoZero"/>
        <c:crossBetween val="between"/>
      </c:valAx>
    </c:plotArea>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CONCENTRACIÓN 2010</a:t>
            </a:r>
          </a:p>
        </c:rich>
      </c:tx>
      <c:overlay val="0"/>
    </c:title>
    <c:autoTitleDeleted val="0"/>
    <c:plotArea>
      <c:layout/>
      <c:pieChart>
        <c:varyColors val="1"/>
        <c:ser>
          <c:idx val="0"/>
          <c:order val="0"/>
          <c:dLbls>
            <c:spPr>
              <a:noFill/>
              <a:ln>
                <a:noFill/>
              </a:ln>
              <a:effectLst/>
            </c:spPr>
            <c:txPr>
              <a:bodyPr/>
              <a:lstStyle/>
              <a:p>
                <a:pPr>
                  <a:defRPr lang="es-ES" sz="12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'clinicas y hos'!$J$147:$J$148</c:f>
              <c:numCache>
                <c:formatCode>0.00</c:formatCode>
                <c:ptCount val="2"/>
                <c:pt idx="0">
                  <c:v>3.2841709446834205E-2</c:v>
                </c:pt>
                <c:pt idx="1">
                  <c:v>0.96715829055316727</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a:t>PORCENTAJE DE RENTABILIDAD 2009</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RENTABILIDAD!$D$100:$D$109</c:f>
              <c:strCache>
                <c:ptCount val="10"/>
                <c:pt idx="0">
                  <c:v>SALUDCOOP</c:v>
                </c:pt>
                <c:pt idx="1">
                  <c:v>CENTRO  FETALPRONATAL</c:v>
                </c:pt>
                <c:pt idx="2">
                  <c:v>CLINICA PANAMERICANA </c:v>
                </c:pt>
                <c:pt idx="3">
                  <c:v>CLINICA SANTAMARIA </c:v>
                </c:pt>
                <c:pt idx="4">
                  <c:v>CLINICA SAN LUIS </c:v>
                </c:pt>
                <c:pt idx="5">
                  <c:v>CLINICA PARKER</c:v>
                </c:pt>
                <c:pt idx="6">
                  <c:v>INREUMI</c:v>
                </c:pt>
                <c:pt idx="7">
                  <c:v>CLIMEDINOR</c:v>
                </c:pt>
                <c:pt idx="8">
                  <c:v>COMPARASAD </c:v>
                </c:pt>
                <c:pt idx="9">
                  <c:v>CERNIMED</c:v>
                </c:pt>
              </c:strCache>
            </c:strRef>
          </c:cat>
          <c:val>
            <c:numRef>
              <c:f>RENTABILIDAD!$I$100:$I$109</c:f>
              <c:numCache>
                <c:formatCode>0.00</c:formatCode>
                <c:ptCount val="10"/>
                <c:pt idx="0">
                  <c:v>-59.22014847739181</c:v>
                </c:pt>
                <c:pt idx="1">
                  <c:v>1.0661126749429124</c:v>
                </c:pt>
                <c:pt idx="2">
                  <c:v>156.04461841959059</c:v>
                </c:pt>
                <c:pt idx="3">
                  <c:v>0</c:v>
                </c:pt>
                <c:pt idx="4">
                  <c:v>-2.835100523304971E-2</c:v>
                </c:pt>
                <c:pt idx="5">
                  <c:v>0</c:v>
                </c:pt>
                <c:pt idx="6">
                  <c:v>-1.238942912898616</c:v>
                </c:pt>
                <c:pt idx="7">
                  <c:v>0</c:v>
                </c:pt>
                <c:pt idx="8">
                  <c:v>0</c:v>
                </c:pt>
                <c:pt idx="9">
                  <c:v>3.3767113009899132</c:v>
                </c:pt>
              </c:numCache>
            </c:numRef>
          </c:val>
        </c:ser>
        <c:dLbls>
          <c:showLegendKey val="0"/>
          <c:showVal val="0"/>
          <c:showCatName val="0"/>
          <c:showSerName val="0"/>
          <c:showPercent val="0"/>
          <c:showBubbleSize val="0"/>
        </c:dLbls>
        <c:gapWidth val="150"/>
        <c:shape val="box"/>
        <c:axId val="370614456"/>
        <c:axId val="370612888"/>
        <c:axId val="0"/>
      </c:bar3DChart>
      <c:catAx>
        <c:axId val="370614456"/>
        <c:scaling>
          <c:orientation val="minMax"/>
        </c:scaling>
        <c:delete val="0"/>
        <c:axPos val="b"/>
        <c:numFmt formatCode="General" sourceLinked="0"/>
        <c:majorTickMark val="none"/>
        <c:minorTickMark val="none"/>
        <c:tickLblPos val="nextTo"/>
        <c:txPr>
          <a:bodyPr/>
          <a:lstStyle/>
          <a:p>
            <a:pPr>
              <a:defRPr lang="es-ES"/>
            </a:pPr>
            <a:endParaRPr lang="es-EC"/>
          </a:p>
        </c:txPr>
        <c:crossAx val="370612888"/>
        <c:crosses val="autoZero"/>
        <c:auto val="1"/>
        <c:lblAlgn val="ctr"/>
        <c:lblOffset val="100"/>
        <c:noMultiLvlLbl val="0"/>
      </c:catAx>
      <c:valAx>
        <c:axId val="370612888"/>
        <c:scaling>
          <c:orientation val="minMax"/>
        </c:scaling>
        <c:delete val="0"/>
        <c:axPos val="l"/>
        <c:majorGridlines/>
        <c:title>
          <c:overlay val="0"/>
          <c:txPr>
            <a:bodyPr/>
            <a:lstStyle/>
            <a:p>
              <a:pPr>
                <a:defRPr lang="es-ES"/>
              </a:pPr>
              <a:endParaRPr lang="es-EC"/>
            </a:p>
          </c:txPr>
        </c:title>
        <c:numFmt formatCode="0.00" sourceLinked="1"/>
        <c:majorTickMark val="none"/>
        <c:minorTickMark val="none"/>
        <c:tickLblPos val="nextTo"/>
        <c:txPr>
          <a:bodyPr/>
          <a:lstStyle/>
          <a:p>
            <a:pPr>
              <a:defRPr lang="es-ES"/>
            </a:pPr>
            <a:endParaRPr lang="es-EC"/>
          </a:p>
        </c:txPr>
        <c:crossAx val="370614456"/>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CONCETRACIION DE RENTABILIDAD 2009</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RENTABILIDAD!$D$100:$D$109</c:f>
              <c:strCache>
                <c:ptCount val="10"/>
                <c:pt idx="0">
                  <c:v>SALUDCOOP</c:v>
                </c:pt>
                <c:pt idx="1">
                  <c:v>CENTRO  FETALPRONATAL</c:v>
                </c:pt>
                <c:pt idx="2">
                  <c:v>CLINICA PANAMERICANA </c:v>
                </c:pt>
                <c:pt idx="3">
                  <c:v>CLINICA SANTAMARIA </c:v>
                </c:pt>
                <c:pt idx="4">
                  <c:v>CLINICA SAN LUIS </c:v>
                </c:pt>
                <c:pt idx="5">
                  <c:v>CLINICA PARKER</c:v>
                </c:pt>
                <c:pt idx="6">
                  <c:v>INREUMI</c:v>
                </c:pt>
                <c:pt idx="7">
                  <c:v>CLIMEDINOR</c:v>
                </c:pt>
                <c:pt idx="8">
                  <c:v>COMPARASAD </c:v>
                </c:pt>
                <c:pt idx="9">
                  <c:v>CERNIMED</c:v>
                </c:pt>
              </c:strCache>
            </c:strRef>
          </c:cat>
          <c:val>
            <c:numRef>
              <c:f>RENTABILIDAD!$J$100:$J$109</c:f>
              <c:numCache>
                <c:formatCode>0.00</c:formatCode>
                <c:ptCount val="10"/>
                <c:pt idx="0">
                  <c:v>3507.0259856843309</c:v>
                </c:pt>
                <c:pt idx="1">
                  <c:v>1.136596235673925</c:v>
                </c:pt>
                <c:pt idx="2">
                  <c:v>24349.922937715641</c:v>
                </c:pt>
                <c:pt idx="3">
                  <c:v>0</c:v>
                </c:pt>
                <c:pt idx="4">
                  <c:v>8.0377949772441606E-4</c:v>
                </c:pt>
                <c:pt idx="5">
                  <c:v>0</c:v>
                </c:pt>
                <c:pt idx="6">
                  <c:v>1.5349795414217124</c:v>
                </c:pt>
                <c:pt idx="7">
                  <c:v>0</c:v>
                </c:pt>
                <c:pt idx="8">
                  <c:v>0</c:v>
                </c:pt>
                <c:pt idx="9">
                  <c:v>11.402179210233014</c:v>
                </c:pt>
              </c:numCache>
            </c:numRef>
          </c:val>
        </c:ser>
        <c:dLbls>
          <c:showLegendKey val="0"/>
          <c:showVal val="0"/>
          <c:showCatName val="0"/>
          <c:showSerName val="0"/>
          <c:showPercent val="0"/>
          <c:showBubbleSize val="0"/>
        </c:dLbls>
        <c:gapWidth val="75"/>
        <c:overlap val="-25"/>
        <c:axId val="370615240"/>
        <c:axId val="370616416"/>
      </c:barChart>
      <c:catAx>
        <c:axId val="370615240"/>
        <c:scaling>
          <c:orientation val="minMax"/>
        </c:scaling>
        <c:delete val="0"/>
        <c:axPos val="l"/>
        <c:numFmt formatCode="General" sourceLinked="0"/>
        <c:majorTickMark val="none"/>
        <c:minorTickMark val="none"/>
        <c:tickLblPos val="nextTo"/>
        <c:txPr>
          <a:bodyPr/>
          <a:lstStyle/>
          <a:p>
            <a:pPr>
              <a:defRPr lang="es-ES"/>
            </a:pPr>
            <a:endParaRPr lang="es-EC"/>
          </a:p>
        </c:txPr>
        <c:crossAx val="370616416"/>
        <c:crosses val="autoZero"/>
        <c:auto val="1"/>
        <c:lblAlgn val="ctr"/>
        <c:lblOffset val="100"/>
        <c:noMultiLvlLbl val="0"/>
      </c:catAx>
      <c:valAx>
        <c:axId val="370616416"/>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0615240"/>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RENTABILIDAD 2010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dLbl>
              <c:idx val="6"/>
              <c:layout>
                <c:manualLayout>
                  <c:x val="0"/>
                  <c:y val="2.292262920752080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6115691006149212E-3"/>
                  <c:y val="3.438394381128119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RENTABILIDAD!$D$100:$D$109</c:f>
              <c:strCache>
                <c:ptCount val="10"/>
                <c:pt idx="0">
                  <c:v>SALUDCOOP</c:v>
                </c:pt>
                <c:pt idx="1">
                  <c:v>CENTRO  FETALPRONATAL</c:v>
                </c:pt>
                <c:pt idx="2">
                  <c:v>CLINICA PANAMERICANA </c:v>
                </c:pt>
                <c:pt idx="3">
                  <c:v>CLINICA SANTAMARIA </c:v>
                </c:pt>
                <c:pt idx="4">
                  <c:v>CLINICA SAN LUIS </c:v>
                </c:pt>
                <c:pt idx="5">
                  <c:v>CLINICA PARKER</c:v>
                </c:pt>
                <c:pt idx="6">
                  <c:v>INREUMI</c:v>
                </c:pt>
                <c:pt idx="7">
                  <c:v>CLIMEDINOR</c:v>
                </c:pt>
                <c:pt idx="8">
                  <c:v>COMPARASAD </c:v>
                </c:pt>
                <c:pt idx="9">
                  <c:v>CERNIMED</c:v>
                </c:pt>
              </c:strCache>
            </c:strRef>
          </c:cat>
          <c:val>
            <c:numRef>
              <c:f>RENTABILIDAD!$G$100:$G$109</c:f>
              <c:numCache>
                <c:formatCode>0.00</c:formatCode>
                <c:ptCount val="10"/>
                <c:pt idx="0">
                  <c:v>58.009464576735098</c:v>
                </c:pt>
                <c:pt idx="1">
                  <c:v>3.0650457418661008E-2</c:v>
                </c:pt>
                <c:pt idx="2">
                  <c:v>0</c:v>
                </c:pt>
                <c:pt idx="3">
                  <c:v>42.990090677504497</c:v>
                </c:pt>
                <c:pt idx="4">
                  <c:v>5.8535290790912603E-2</c:v>
                </c:pt>
                <c:pt idx="5">
                  <c:v>0</c:v>
                </c:pt>
                <c:pt idx="6">
                  <c:v>-0.31013204851913889</c:v>
                </c:pt>
                <c:pt idx="7">
                  <c:v>0</c:v>
                </c:pt>
                <c:pt idx="8">
                  <c:v>0</c:v>
                </c:pt>
                <c:pt idx="9">
                  <c:v>-0.77860895393019447</c:v>
                </c:pt>
              </c:numCache>
            </c:numRef>
          </c:val>
        </c:ser>
        <c:dLbls>
          <c:showLegendKey val="0"/>
          <c:showVal val="0"/>
          <c:showCatName val="0"/>
          <c:showSerName val="0"/>
          <c:showPercent val="0"/>
          <c:showBubbleSize val="0"/>
        </c:dLbls>
        <c:gapWidth val="150"/>
        <c:shape val="box"/>
        <c:axId val="370611320"/>
        <c:axId val="370612104"/>
        <c:axId val="0"/>
      </c:bar3DChart>
      <c:catAx>
        <c:axId val="370611320"/>
        <c:scaling>
          <c:orientation val="minMax"/>
        </c:scaling>
        <c:delete val="0"/>
        <c:axPos val="b"/>
        <c:numFmt formatCode="General" sourceLinked="0"/>
        <c:majorTickMark val="none"/>
        <c:minorTickMark val="none"/>
        <c:tickLblPos val="nextTo"/>
        <c:txPr>
          <a:bodyPr/>
          <a:lstStyle/>
          <a:p>
            <a:pPr>
              <a:defRPr lang="es-ES"/>
            </a:pPr>
            <a:endParaRPr lang="es-EC"/>
          </a:p>
        </c:txPr>
        <c:crossAx val="370612104"/>
        <c:crosses val="autoZero"/>
        <c:auto val="1"/>
        <c:lblAlgn val="ctr"/>
        <c:lblOffset val="100"/>
        <c:noMultiLvlLbl val="0"/>
      </c:catAx>
      <c:valAx>
        <c:axId val="370612104"/>
        <c:scaling>
          <c:orientation val="minMax"/>
        </c:scaling>
        <c:delete val="0"/>
        <c:axPos val="l"/>
        <c:majorGridlines/>
        <c:numFmt formatCode="0.00" sourceLinked="1"/>
        <c:majorTickMark val="none"/>
        <c:minorTickMark val="none"/>
        <c:tickLblPos val="nextTo"/>
        <c:txPr>
          <a:bodyPr/>
          <a:lstStyle/>
          <a:p>
            <a:pPr>
              <a:defRPr lang="es-ES"/>
            </a:pPr>
            <a:endParaRPr lang="es-EC"/>
          </a:p>
        </c:txPr>
        <c:crossAx val="370611320"/>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CONCETRACIÓN DE RENTABILIDAD 2010</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RENTABILIDAD!$D$100:$D$109</c:f>
              <c:strCache>
                <c:ptCount val="10"/>
                <c:pt idx="0">
                  <c:v>SALUDCOOP</c:v>
                </c:pt>
                <c:pt idx="1">
                  <c:v>CENTRO  FETALPRONATAL</c:v>
                </c:pt>
                <c:pt idx="2">
                  <c:v>CLINICA PANAMERICANA </c:v>
                </c:pt>
                <c:pt idx="3">
                  <c:v>CLINICA SANTAMARIA </c:v>
                </c:pt>
                <c:pt idx="4">
                  <c:v>CLINICA SAN LUIS </c:v>
                </c:pt>
                <c:pt idx="5">
                  <c:v>CLINICA PARKER</c:v>
                </c:pt>
                <c:pt idx="6">
                  <c:v>INREUMI</c:v>
                </c:pt>
                <c:pt idx="7">
                  <c:v>CLIMEDINOR</c:v>
                </c:pt>
                <c:pt idx="8">
                  <c:v>COMPARASAD </c:v>
                </c:pt>
                <c:pt idx="9">
                  <c:v>CERNIMED</c:v>
                </c:pt>
              </c:strCache>
            </c:strRef>
          </c:cat>
          <c:val>
            <c:numRef>
              <c:f>RENTABILIDAD!$H$100:$H$109</c:f>
              <c:numCache>
                <c:formatCode>0.00</c:formatCode>
                <c:ptCount val="10"/>
                <c:pt idx="0">
                  <c:v>3365.097980479502</c:v>
                </c:pt>
                <c:pt idx="1">
                  <c:v>9.3945053997315125E-4</c:v>
                </c:pt>
                <c:pt idx="2">
                  <c:v>0</c:v>
                </c:pt>
                <c:pt idx="3">
                  <c:v>1848.1478964600601</c:v>
                </c:pt>
                <c:pt idx="4">
                  <c:v>3.4263802679767121E-3</c:v>
                </c:pt>
                <c:pt idx="5">
                  <c:v>0</c:v>
                </c:pt>
                <c:pt idx="6">
                  <c:v>9.6181887518678094E-2</c:v>
                </c:pt>
                <c:pt idx="7">
                  <c:v>0</c:v>
                </c:pt>
                <c:pt idx="8">
                  <c:v>0</c:v>
                </c:pt>
                <c:pt idx="9">
                  <c:v>0.60623190314026598</c:v>
                </c:pt>
              </c:numCache>
            </c:numRef>
          </c:val>
        </c:ser>
        <c:dLbls>
          <c:showLegendKey val="0"/>
          <c:showVal val="0"/>
          <c:showCatName val="0"/>
          <c:showSerName val="0"/>
          <c:showPercent val="0"/>
          <c:showBubbleSize val="0"/>
        </c:dLbls>
        <c:gapWidth val="75"/>
        <c:overlap val="-25"/>
        <c:axId val="370612496"/>
        <c:axId val="370606616"/>
      </c:barChart>
      <c:catAx>
        <c:axId val="370612496"/>
        <c:scaling>
          <c:orientation val="minMax"/>
        </c:scaling>
        <c:delete val="0"/>
        <c:axPos val="l"/>
        <c:numFmt formatCode="General" sourceLinked="0"/>
        <c:majorTickMark val="none"/>
        <c:minorTickMark val="none"/>
        <c:tickLblPos val="nextTo"/>
        <c:txPr>
          <a:bodyPr/>
          <a:lstStyle/>
          <a:p>
            <a:pPr>
              <a:defRPr lang="es-ES"/>
            </a:pPr>
            <a:endParaRPr lang="es-EC"/>
          </a:p>
        </c:txPr>
        <c:crossAx val="370606616"/>
        <c:crosses val="autoZero"/>
        <c:auto val="1"/>
        <c:lblAlgn val="ctr"/>
        <c:lblOffset val="100"/>
        <c:noMultiLvlLbl val="0"/>
      </c:catAx>
      <c:valAx>
        <c:axId val="370606616"/>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0612496"/>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s-ES"/>
            </a:pPr>
            <a:r>
              <a:rPr lang="es-EC"/>
              <a:t>PORCENTAJE DE </a:t>
            </a:r>
            <a:r>
              <a:rPr lang="es-EC" baseline="0"/>
              <a:t>ACTIVO AÑO 2009</a:t>
            </a:r>
            <a:endParaRPr lang="es-EC"/>
          </a:p>
        </c:rich>
      </c:tx>
      <c:overlay val="0"/>
    </c:title>
    <c:autoTitleDeleted val="0"/>
    <c:plotArea>
      <c:layout/>
      <c:barChart>
        <c:barDir val="bar"/>
        <c:grouping val="stacked"/>
        <c:varyColors val="0"/>
        <c:ser>
          <c:idx val="0"/>
          <c:order val="0"/>
          <c:invertIfNegative val="0"/>
          <c:dLbls>
            <c:dLbl>
              <c:idx val="0"/>
              <c:layout>
                <c:manualLayout>
                  <c:x val="8.510638297872386E-2"/>
                  <c:y val="1.0416663818716204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963249516441021E-2"/>
                  <c:y val="-6.944442545810791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6.963249516441021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963249516441021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221127339740190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9632495164410321E-2"/>
                  <c:y val="3.472221272905401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221147646679571E-2"/>
                  <c:y val="3.4722212729054016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6.963249516441021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9632495164410321E-2"/>
                  <c:y val="1.0416663818716204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6.4474532559639114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6.4474532559639225E-2"/>
                  <c:y val="-3.4722212729054016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7.2211273397401909E-2"/>
                  <c:y val="-2.7340324983507123E-7"/>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31641760482419112"/>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6737588652482303E-2"/>
                  <c:y val="3.4722212729054016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Hoja1!$B$58:$B$71</c:f>
              <c:strCache>
                <c:ptCount val="14"/>
                <c:pt idx="0">
                  <c:v>CLINICA  MARÍA AUXILIADORA</c:v>
                </c:pt>
                <c:pt idx="1">
                  <c:v>CENTRO CEFAVIS  SANA S.A.</c:v>
                </c:pt>
                <c:pt idx="2">
                  <c:v>CLINICA  GALENOSS.A</c:v>
                </c:pt>
                <c:pt idx="3">
                  <c:v>CLINICA MODERNA CIA.LTDA</c:v>
                </c:pt>
                <c:pt idx="4">
                  <c:v>CLINICA  OLIMPUS SASEBIS.A</c:v>
                </c:pt>
                <c:pt idx="5">
                  <c:v>CLINICA SAN GABRIEL  </c:v>
                </c:pt>
                <c:pt idx="6">
                  <c:v>CLINICA CLIGEVISA CIA.LTDA</c:v>
                </c:pt>
                <c:pt idx="7">
                  <c:v>CLINICA CONOCOTO  </c:v>
                </c:pt>
                <c:pt idx="8">
                  <c:v>CLINICA  CEMEDSSO CIA LTDA.</c:v>
                </c:pt>
                <c:pt idx="9">
                  <c:v>HOSPITAL INGLES CIA. LTDA.</c:v>
                </c:pt>
                <c:pt idx="10">
                  <c:v>CENTRO CENTROMAMARIA </c:v>
                </c:pt>
                <c:pt idx="11">
                  <c:v>NOVACLINICA</c:v>
                </c:pt>
                <c:pt idx="12">
                  <c:v>TECOCEL S.A.  </c:v>
                </c:pt>
                <c:pt idx="13">
                  <c:v>CLINICA INGLATERRA</c:v>
                </c:pt>
              </c:strCache>
            </c:strRef>
          </c:cat>
          <c:val>
            <c:numRef>
              <c:f>Hoja1!$G$58:$G$71</c:f>
              <c:numCache>
                <c:formatCode>#,##0.00</c:formatCode>
                <c:ptCount val="14"/>
                <c:pt idx="0">
                  <c:v>0.60687973475283119</c:v>
                </c:pt>
                <c:pt idx="1">
                  <c:v>3.0812757775607203E-2</c:v>
                </c:pt>
                <c:pt idx="2">
                  <c:v>0.65364558633660141</c:v>
                </c:pt>
                <c:pt idx="3">
                  <c:v>0.48415490359321411</c:v>
                </c:pt>
                <c:pt idx="4">
                  <c:v>9.94023968578987E-2</c:v>
                </c:pt>
                <c:pt idx="5">
                  <c:v>0</c:v>
                </c:pt>
                <c:pt idx="6">
                  <c:v>0</c:v>
                </c:pt>
                <c:pt idx="7">
                  <c:v>0.11155404034858905</c:v>
                </c:pt>
                <c:pt idx="8">
                  <c:v>0</c:v>
                </c:pt>
                <c:pt idx="9">
                  <c:v>1.551819995952739</c:v>
                </c:pt>
                <c:pt idx="10">
                  <c:v>0</c:v>
                </c:pt>
                <c:pt idx="11">
                  <c:v>10.653676147028403</c:v>
                </c:pt>
                <c:pt idx="12">
                  <c:v>85.803690796286162</c:v>
                </c:pt>
                <c:pt idx="13">
                  <c:v>0</c:v>
                </c:pt>
              </c:numCache>
            </c:numRef>
          </c:val>
        </c:ser>
        <c:dLbls>
          <c:showLegendKey val="0"/>
          <c:showVal val="0"/>
          <c:showCatName val="0"/>
          <c:showSerName val="0"/>
          <c:showPercent val="0"/>
          <c:showBubbleSize val="0"/>
        </c:dLbls>
        <c:gapWidth val="75"/>
        <c:overlap val="100"/>
        <c:axId val="360089496"/>
        <c:axId val="360087928"/>
      </c:barChart>
      <c:catAx>
        <c:axId val="360089496"/>
        <c:scaling>
          <c:orientation val="minMax"/>
        </c:scaling>
        <c:delete val="0"/>
        <c:axPos val="l"/>
        <c:numFmt formatCode="General" sourceLinked="0"/>
        <c:majorTickMark val="none"/>
        <c:minorTickMark val="none"/>
        <c:tickLblPos val="nextTo"/>
        <c:txPr>
          <a:bodyPr/>
          <a:lstStyle/>
          <a:p>
            <a:pPr>
              <a:defRPr lang="es-ES"/>
            </a:pPr>
            <a:endParaRPr lang="es-EC"/>
          </a:p>
        </c:txPr>
        <c:crossAx val="360087928"/>
        <c:crosses val="autoZero"/>
        <c:auto val="1"/>
        <c:lblAlgn val="ctr"/>
        <c:lblOffset val="100"/>
        <c:noMultiLvlLbl val="0"/>
      </c:catAx>
      <c:valAx>
        <c:axId val="360087928"/>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60089496"/>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LABORATORIOS ACTIVO 2009</a:t>
            </a:r>
          </a:p>
        </c:rich>
      </c:tx>
      <c:layout>
        <c:manualLayout>
          <c:xMode val="edge"/>
          <c:yMode val="edge"/>
          <c:x val="0.13646395800524905"/>
          <c:y val="6.4078866296980896E-2"/>
        </c:manualLayout>
      </c:layout>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cat>
            <c:strRef>
              <c:f>laboratorios!$B$67:$B$87</c:f>
              <c:strCache>
                <c:ptCount val="21"/>
                <c:pt idx="0">
                  <c:v>OBSIDIAN CIA.LTDA</c:v>
                </c:pt>
                <c:pt idx="1">
                  <c:v>INTEGRAMED S.A</c:v>
                </c:pt>
                <c:pt idx="2">
                  <c:v> LAQUIN CIA. LTDA.</c:v>
                </c:pt>
                <c:pt idx="3">
                  <c:v>AVENTIS  PHARMA S.A.</c:v>
                </c:pt>
                <c:pt idx="4">
                  <c:v>GENETIKAFARMA S.A.</c:v>
                </c:pt>
                <c:pt idx="5">
                  <c:v>NIPRO MEDICAL CORPORATION</c:v>
                </c:pt>
                <c:pt idx="6">
                  <c:v>MEAD JHONSON NUTRITION </c:v>
                </c:pt>
                <c:pt idx="7">
                  <c:v>LABORATORIOS SIEGFRIED S.A.</c:v>
                </c:pt>
                <c:pt idx="8">
                  <c:v>INDUPHARMA ECUATORIANA S.A.</c:v>
                </c:pt>
                <c:pt idx="9">
                  <c:v>JAMES BROWN PHARMA C.A.</c:v>
                </c:pt>
                <c:pt idx="10">
                  <c:v>LAB-NYSE CIA LTDA.0</c:v>
                </c:pt>
                <c:pt idx="11">
                  <c:v>LIRA LABORATORIOS INDUSTRIALES </c:v>
                </c:pt>
                <c:pt idx="12">
                  <c:v>LABORATORIO  LAMOSAN </c:v>
                </c:pt>
                <c:pt idx="13">
                  <c:v>PFIZER CIA. LTDA</c:v>
                </c:pt>
                <c:pt idx="14">
                  <c:v>LABORATORIOS BIOPAS S.A.</c:v>
                </c:pt>
                <c:pt idx="15">
                  <c:v>INTERMEDICA</c:v>
                </c:pt>
                <c:pt idx="16">
                  <c:v>LABORATORIOS BIOGENET</c:v>
                </c:pt>
                <c:pt idx="17">
                  <c:v>EUROLAB</c:v>
                </c:pt>
                <c:pt idx="18">
                  <c:v>INDUSTRIA FERROMEDICA </c:v>
                </c:pt>
                <c:pt idx="19">
                  <c:v>LABORATORIOS LAFRANCOL ECUADOR </c:v>
                </c:pt>
                <c:pt idx="20">
                  <c:v>ABBOTT  LABORATORIOS</c:v>
                </c:pt>
              </c:strCache>
            </c:strRef>
          </c:cat>
          <c:val>
            <c:numRef>
              <c:f>laboratorios!$E$67:$E$87</c:f>
              <c:numCache>
                <c:formatCode>0.00</c:formatCode>
                <c:ptCount val="21"/>
                <c:pt idx="0">
                  <c:v>0.7212147260904912</c:v>
                </c:pt>
                <c:pt idx="1">
                  <c:v>0.29688720360619109</c:v>
                </c:pt>
                <c:pt idx="2">
                  <c:v>0.13687965923925691</c:v>
                </c:pt>
                <c:pt idx="3">
                  <c:v>11.223682534285967</c:v>
                </c:pt>
                <c:pt idx="4">
                  <c:v>0.75978324174166478</c:v>
                </c:pt>
                <c:pt idx="5">
                  <c:v>5.1761203191304279</c:v>
                </c:pt>
                <c:pt idx="6">
                  <c:v>5.1761203191304279</c:v>
                </c:pt>
                <c:pt idx="7">
                  <c:v>9.5017999596504872</c:v>
                </c:pt>
                <c:pt idx="8">
                  <c:v>5.4275832119865246</c:v>
                </c:pt>
                <c:pt idx="9">
                  <c:v>3.368980825799035</c:v>
                </c:pt>
                <c:pt idx="10">
                  <c:v>0.2851806492172832</c:v>
                </c:pt>
                <c:pt idx="11">
                  <c:v>0.35670655525579908</c:v>
                </c:pt>
                <c:pt idx="12">
                  <c:v>3.5902718271324709</c:v>
                </c:pt>
                <c:pt idx="13">
                  <c:v>30.263140042790486</c:v>
                </c:pt>
                <c:pt idx="14">
                  <c:v>0.609254915410264</c:v>
                </c:pt>
                <c:pt idx="15">
                  <c:v>0.91037529073110801</c:v>
                </c:pt>
                <c:pt idx="16">
                  <c:v>0.83161336912774775</c:v>
                </c:pt>
                <c:pt idx="17">
                  <c:v>0.83161336912774775</c:v>
                </c:pt>
                <c:pt idx="18">
                  <c:v>0</c:v>
                </c:pt>
                <c:pt idx="19">
                  <c:v>0</c:v>
                </c:pt>
                <c:pt idx="20">
                  <c:v>20.532791980546627</c:v>
                </c:pt>
              </c:numCache>
            </c:numRef>
          </c:val>
        </c:ser>
        <c:dLbls>
          <c:showLegendKey val="0"/>
          <c:showVal val="0"/>
          <c:showCatName val="0"/>
          <c:showSerName val="0"/>
          <c:showPercent val="1"/>
          <c:showBubbleSize val="0"/>
          <c:showLeaderLines val="0"/>
        </c:dLbls>
      </c:pie3DChart>
    </c:plotArea>
    <c:legend>
      <c:legendPos val="r"/>
      <c:overlay val="0"/>
      <c:txPr>
        <a:bodyPr/>
        <a:lstStyle/>
        <a:p>
          <a:pPr>
            <a:defRPr lang="es-ES" sz="800"/>
          </a:pPr>
          <a:endParaRPr lang="es-EC"/>
        </a:p>
      </c:txPr>
    </c:legend>
    <c:plotVisOnly val="1"/>
    <c:dispBlanksAs val="zero"/>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DE ACTIVO 2009</a:t>
            </a:r>
          </a:p>
        </c:rich>
      </c:tx>
      <c:overlay val="0"/>
    </c:title>
    <c:autoTitleDeleted val="0"/>
    <c:plotArea>
      <c:layout/>
      <c:barChart>
        <c:barDir val="bar"/>
        <c:grouping val="clustered"/>
        <c:varyColors val="0"/>
        <c:ser>
          <c:idx val="0"/>
          <c:order val="0"/>
          <c:invertIfNegative val="0"/>
          <c:dLbls>
            <c:dLbl>
              <c:idx val="0"/>
              <c:layout>
                <c:manualLayout>
                  <c:x val="2.3208018708594208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5.8631585078955099E-2"/>
                  <c:y val="5.804291379015480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1.8679906401053298E-2"/>
                  <c:y val="2.90214568950774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1.50531576255591E-2"/>
                  <c:y val="-1.0641310210445519E-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144582279628000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290779293270930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6811247546893323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1.6785608404113811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3.3392335584794909E-2"/>
                  <c:y val="-3.6750673304165602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8.6752376489290847E-3"/>
                  <c:y val="-5.8042913790154801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4.8709564829152723E-2"/>
                  <c:y val="-2.9022090381188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1.1958757548676001E-2"/>
                  <c:y val="-7.7292164090888432E-4"/>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3.4530900638175016E-2"/>
                  <c:y val="5.804418076237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3"/>
              <c:layout>
                <c:manualLayout>
                  <c:x val="9.66593553523200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4"/>
              <c:layout>
                <c:manualLayout>
                  <c:x val="3.9183004914762412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5"/>
              <c:layout>
                <c:manualLayout>
                  <c:x val="1.6382439544558012E-2"/>
                  <c:y val="2.9021456895077409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6"/>
              <c:layout>
                <c:manualLayout>
                  <c:x val="3.9016004076455606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1.4232434585430002E-2"/>
                  <c:y val="-2.893753803477672E-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8"/>
              <c:layout>
                <c:manualLayout>
                  <c:x val="3.9376565761079514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9"/>
              <c:layout>
                <c:manualLayout>
                  <c:x val="6.0532846481669315E-3"/>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0"/>
              <c:layout>
                <c:manualLayout>
                  <c:x val="9.6659355352318836E-3"/>
                  <c:y val="-5.8044180762376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laboratorios!$B$67:$B$87</c:f>
              <c:strCache>
                <c:ptCount val="21"/>
                <c:pt idx="0">
                  <c:v>OBSIDIAN CIA.LTDA</c:v>
                </c:pt>
                <c:pt idx="1">
                  <c:v>INTEGRAMED S.A</c:v>
                </c:pt>
                <c:pt idx="2">
                  <c:v> LAQUIN CIA. LTDA.</c:v>
                </c:pt>
                <c:pt idx="3">
                  <c:v>AVENTIS  PHARMA S.A.</c:v>
                </c:pt>
                <c:pt idx="4">
                  <c:v>GENETIKAFARMA S.A.</c:v>
                </c:pt>
                <c:pt idx="5">
                  <c:v>NIPRO MEDICAL CORPORATION</c:v>
                </c:pt>
                <c:pt idx="6">
                  <c:v>MEAD JHONSON NUTRITION </c:v>
                </c:pt>
                <c:pt idx="7">
                  <c:v>LABORATORIOS SIEGFRIED S.A.</c:v>
                </c:pt>
                <c:pt idx="8">
                  <c:v>INDUPHARMA ECUATORIANA S.A.</c:v>
                </c:pt>
                <c:pt idx="9">
                  <c:v>JAMES BROWN PHARMA C.A.</c:v>
                </c:pt>
                <c:pt idx="10">
                  <c:v>LAB-NYSE CIA LTDA.0</c:v>
                </c:pt>
                <c:pt idx="11">
                  <c:v>LIRA LABORATORIOS INDUSTRIALES </c:v>
                </c:pt>
                <c:pt idx="12">
                  <c:v>LABORATORIO  LAMOSAN </c:v>
                </c:pt>
                <c:pt idx="13">
                  <c:v>PFIZER CIA. LTDA</c:v>
                </c:pt>
                <c:pt idx="14">
                  <c:v>LABORATORIOS BIOPAS S.A.</c:v>
                </c:pt>
                <c:pt idx="15">
                  <c:v>INTERMEDICA</c:v>
                </c:pt>
                <c:pt idx="16">
                  <c:v>LABORATORIOS BIOGENET</c:v>
                </c:pt>
                <c:pt idx="17">
                  <c:v>EUROLAB</c:v>
                </c:pt>
                <c:pt idx="18">
                  <c:v>INDUSTRIA FERROMEDICA </c:v>
                </c:pt>
                <c:pt idx="19">
                  <c:v>LABORATORIOS LAFRANCOL ECUADOR </c:v>
                </c:pt>
                <c:pt idx="20">
                  <c:v>ABBOTT  LABORATORIOS</c:v>
                </c:pt>
              </c:strCache>
            </c:strRef>
          </c:cat>
          <c:val>
            <c:numRef>
              <c:f>laboratorios!$F$67:$F$87</c:f>
              <c:numCache>
                <c:formatCode>0.00</c:formatCode>
                <c:ptCount val="21"/>
                <c:pt idx="0">
                  <c:v>0.52015068112978202</c:v>
                </c:pt>
                <c:pt idx="1">
                  <c:v>8.8142011665104103E-2</c:v>
                </c:pt>
                <c:pt idx="2">
                  <c:v>1.8736041113455303E-2</c:v>
                </c:pt>
                <c:pt idx="3">
                  <c:v>125.97104963043488</c:v>
                </c:pt>
                <c:pt idx="4">
                  <c:v>0.57727057443147622</c:v>
                </c:pt>
                <c:pt idx="5">
                  <c:v>26.792221558114875</c:v>
                </c:pt>
                <c:pt idx="6">
                  <c:v>26.792221558114875</c:v>
                </c:pt>
                <c:pt idx="7">
                  <c:v>90.284202473214023</c:v>
                </c:pt>
                <c:pt idx="8">
                  <c:v>29.458659523038087</c:v>
                </c:pt>
                <c:pt idx="9">
                  <c:v>11.350031804601564</c:v>
                </c:pt>
                <c:pt idx="10">
                  <c:v>8.1328002687990439E-2</c:v>
                </c:pt>
                <c:pt idx="11">
                  <c:v>0.12723956656245805</c:v>
                </c:pt>
                <c:pt idx="12">
                  <c:v>12.89005179270111</c:v>
                </c:pt>
                <c:pt idx="13">
                  <c:v>915.85764524955039</c:v>
                </c:pt>
                <c:pt idx="14">
                  <c:v>0.371191551951568</c:v>
                </c:pt>
                <c:pt idx="15">
                  <c:v>0.82878316997374779</c:v>
                </c:pt>
                <c:pt idx="16">
                  <c:v>0.69158079571200459</c:v>
                </c:pt>
                <c:pt idx="17">
                  <c:v>0.69158079571200459</c:v>
                </c:pt>
                <c:pt idx="18">
                  <c:v>0</c:v>
                </c:pt>
                <c:pt idx="19">
                  <c:v>0</c:v>
                </c:pt>
                <c:pt idx="20">
                  <c:v>421.59554651640019</c:v>
                </c:pt>
              </c:numCache>
            </c:numRef>
          </c:val>
        </c:ser>
        <c:dLbls>
          <c:showLegendKey val="0"/>
          <c:showVal val="0"/>
          <c:showCatName val="0"/>
          <c:showSerName val="0"/>
          <c:showPercent val="0"/>
          <c:showBubbleSize val="0"/>
        </c:dLbls>
        <c:gapWidth val="75"/>
        <c:overlap val="40"/>
        <c:axId val="370616808"/>
        <c:axId val="370610536"/>
      </c:barChart>
      <c:catAx>
        <c:axId val="370616808"/>
        <c:scaling>
          <c:orientation val="minMax"/>
        </c:scaling>
        <c:delete val="0"/>
        <c:axPos val="l"/>
        <c:numFmt formatCode="General" sourceLinked="0"/>
        <c:majorTickMark val="none"/>
        <c:minorTickMark val="none"/>
        <c:tickLblPos val="nextTo"/>
        <c:txPr>
          <a:bodyPr/>
          <a:lstStyle/>
          <a:p>
            <a:pPr>
              <a:defRPr lang="es-ES"/>
            </a:pPr>
            <a:endParaRPr lang="es-EC"/>
          </a:p>
        </c:txPr>
        <c:crossAx val="370610536"/>
        <c:crosses val="autoZero"/>
        <c:auto val="1"/>
        <c:lblAlgn val="ctr"/>
        <c:lblOffset val="100"/>
        <c:noMultiLvlLbl val="0"/>
      </c:catAx>
      <c:valAx>
        <c:axId val="370610536"/>
        <c:scaling>
          <c:orientation val="minMax"/>
        </c:scaling>
        <c:delete val="0"/>
        <c:axPos val="b"/>
        <c:majorGridlines/>
        <c:numFmt formatCode="0.00" sourceLinked="1"/>
        <c:majorTickMark val="none"/>
        <c:minorTickMark val="none"/>
        <c:tickLblPos val="nextTo"/>
        <c:txPr>
          <a:bodyPr/>
          <a:lstStyle/>
          <a:p>
            <a:pPr>
              <a:defRPr lang="es-ES"/>
            </a:pPr>
            <a:endParaRPr lang="es-EC"/>
          </a:p>
        </c:txPr>
        <c:crossAx val="370616808"/>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DE LABORATORIOS ACTIVO</a:t>
            </a:r>
            <a:r>
              <a:rPr lang="en-US" baseline="0"/>
              <a:t> </a:t>
            </a:r>
            <a:r>
              <a:rPr lang="en-US"/>
              <a:t>QUITO 2009</a:t>
            </a:r>
          </a:p>
        </c:rich>
      </c:tx>
      <c:overlay val="0"/>
    </c:title>
    <c:autoTitleDeleted val="0"/>
    <c:plotArea>
      <c:layout/>
      <c:pieChart>
        <c:varyColors val="1"/>
        <c:ser>
          <c:idx val="0"/>
          <c:order val="0"/>
          <c:dLbls>
            <c:spPr>
              <a:noFill/>
              <a:ln>
                <a:noFill/>
              </a:ln>
              <a:effectLst/>
            </c:spPr>
            <c:txPr>
              <a:bodyPr/>
              <a:lstStyle/>
              <a:p>
                <a:pPr>
                  <a:defRPr lang="es-ES" sz="11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laboratorios!$G$88:$H$88</c:f>
              <c:numCache>
                <c:formatCode>0.00</c:formatCode>
                <c:ptCount val="2"/>
                <c:pt idx="0">
                  <c:v>71.521414517273556</c:v>
                </c:pt>
                <c:pt idx="1">
                  <c:v>28.478585482726444</c:v>
                </c:pt>
              </c:numCache>
            </c:numRef>
          </c:val>
        </c:ser>
        <c:dLbls>
          <c:showLegendKey val="0"/>
          <c:showVal val="0"/>
          <c:showCatName val="0"/>
          <c:showSerName val="0"/>
          <c:showPercent val="1"/>
          <c:showBubbleSize val="0"/>
          <c:showLeaderLines val="1"/>
        </c:dLbls>
        <c:firstSliceAng val="0"/>
      </c:pieChart>
    </c:plotArea>
    <c:legend>
      <c:legendPos val="r"/>
      <c:overlay val="0"/>
      <c:txPr>
        <a:bodyPr/>
        <a:lstStyle/>
        <a:p>
          <a:pPr rtl="0">
            <a:defRPr lang="es-ES"/>
          </a:pPr>
          <a:endParaRPr lang="es-EC"/>
        </a:p>
      </c:txPr>
    </c:legend>
    <c:plotVisOnly val="1"/>
    <c:dispBlanksAs val="zero"/>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ACTIVOS 2010</a:t>
            </a:r>
          </a:p>
        </c:rich>
      </c:tx>
      <c:overlay val="0"/>
    </c:title>
    <c:autoTitleDeleted val="0"/>
    <c:plotArea>
      <c:layout>
        <c:manualLayout>
          <c:layoutTarget val="inner"/>
          <c:xMode val="edge"/>
          <c:yMode val="edge"/>
          <c:x val="0.30412103110828709"/>
          <c:y val="0.12646713651567007"/>
          <c:w val="0.64990029979818742"/>
          <c:h val="0.75982571001457966"/>
        </c:manualLayout>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laboratorios!$B$69:$B$89</c:f>
              <c:strCache>
                <c:ptCount val="21"/>
                <c:pt idx="0">
                  <c:v>OBSIDIAN CIA.LTDA</c:v>
                </c:pt>
                <c:pt idx="1">
                  <c:v>INTEGRAMED S.A</c:v>
                </c:pt>
                <c:pt idx="2">
                  <c:v> LAQUIN CIA. LTDA.</c:v>
                </c:pt>
                <c:pt idx="3">
                  <c:v>AVENTIS  PHARMA S.A.</c:v>
                </c:pt>
                <c:pt idx="4">
                  <c:v>GENETIKAFARMA S.A.</c:v>
                </c:pt>
                <c:pt idx="5">
                  <c:v>NIPRO MEDICAL CORPORATION</c:v>
                </c:pt>
                <c:pt idx="6">
                  <c:v>MEAD JHONSON NUTRITION </c:v>
                </c:pt>
                <c:pt idx="7">
                  <c:v>LABORATORIOS SIEGFRIED S.A.</c:v>
                </c:pt>
                <c:pt idx="8">
                  <c:v>INDUPHARMA ECUATORIANA S.A.</c:v>
                </c:pt>
                <c:pt idx="9">
                  <c:v>JAMES BROWN PHARMA C.A.</c:v>
                </c:pt>
                <c:pt idx="10">
                  <c:v>LAB-NYSE CIA LTDA.0</c:v>
                </c:pt>
                <c:pt idx="11">
                  <c:v>LIRA LABORATORIOS INDUSTRIALES </c:v>
                </c:pt>
                <c:pt idx="12">
                  <c:v>LABORATORIO  LAMOSAN </c:v>
                </c:pt>
                <c:pt idx="13">
                  <c:v>PFIZER CIA. LTDA</c:v>
                </c:pt>
                <c:pt idx="14">
                  <c:v>LABORATORIOS BIOPAS S.A.</c:v>
                </c:pt>
                <c:pt idx="15">
                  <c:v>INTERMEDICA</c:v>
                </c:pt>
                <c:pt idx="16">
                  <c:v>LABORATORIOS BIOGENET</c:v>
                </c:pt>
                <c:pt idx="17">
                  <c:v>EUROLAB</c:v>
                </c:pt>
                <c:pt idx="18">
                  <c:v>INDUSTRIA FERROMEDICA </c:v>
                </c:pt>
                <c:pt idx="19">
                  <c:v>LABORATORIOS LAFRANCOL ECUADOR </c:v>
                </c:pt>
                <c:pt idx="20">
                  <c:v>ABBOTT  LABORATORIOS</c:v>
                </c:pt>
              </c:strCache>
            </c:strRef>
          </c:cat>
          <c:val>
            <c:numRef>
              <c:f>laboratorios!$J$69:$J$89</c:f>
              <c:numCache>
                <c:formatCode>0.00</c:formatCode>
                <c:ptCount val="21"/>
                <c:pt idx="0">
                  <c:v>14.288253924055365</c:v>
                </c:pt>
                <c:pt idx="1">
                  <c:v>0.59705100901230979</c:v>
                </c:pt>
                <c:pt idx="2">
                  <c:v>0.53409442512027105</c:v>
                </c:pt>
                <c:pt idx="3">
                  <c:v>2870.6296528790722</c:v>
                </c:pt>
                <c:pt idx="4">
                  <c:v>10.14050164940835</c:v>
                </c:pt>
                <c:pt idx="5">
                  <c:v>791.09434397133339</c:v>
                </c:pt>
                <c:pt idx="6">
                  <c:v>791.09434397133339</c:v>
                </c:pt>
                <c:pt idx="7">
                  <c:v>1684.090646184357</c:v>
                </c:pt>
                <c:pt idx="8">
                  <c:v>1522.6202500937159</c:v>
                </c:pt>
                <c:pt idx="9">
                  <c:v>0</c:v>
                </c:pt>
                <c:pt idx="10">
                  <c:v>1.606110290093214</c:v>
                </c:pt>
                <c:pt idx="11">
                  <c:v>2.3533037408981881</c:v>
                </c:pt>
                <c:pt idx="12">
                  <c:v>536.45253074646166</c:v>
                </c:pt>
                <c:pt idx="13">
                  <c:v>30457.52303247491</c:v>
                </c:pt>
                <c:pt idx="14">
                  <c:v>10.34936517833734</c:v>
                </c:pt>
                <c:pt idx="15">
                  <c:v>17.845278371574626</c:v>
                </c:pt>
                <c:pt idx="16">
                  <c:v>11.257745278011653</c:v>
                </c:pt>
                <c:pt idx="17">
                  <c:v>11.257745278011653</c:v>
                </c:pt>
                <c:pt idx="18">
                  <c:v>3.7582878462926413E-2</c:v>
                </c:pt>
                <c:pt idx="19">
                  <c:v>0</c:v>
                </c:pt>
                <c:pt idx="20">
                  <c:v>10000</c:v>
                </c:pt>
              </c:numCache>
            </c:numRef>
          </c:val>
        </c:ser>
        <c:dLbls>
          <c:showLegendKey val="0"/>
          <c:showVal val="0"/>
          <c:showCatName val="0"/>
          <c:showSerName val="0"/>
          <c:showPercent val="0"/>
          <c:showBubbleSize val="0"/>
        </c:dLbls>
        <c:gapWidth val="75"/>
        <c:overlap val="-25"/>
        <c:axId val="370614848"/>
        <c:axId val="370613280"/>
      </c:barChart>
      <c:catAx>
        <c:axId val="370614848"/>
        <c:scaling>
          <c:orientation val="minMax"/>
        </c:scaling>
        <c:delete val="0"/>
        <c:axPos val="l"/>
        <c:numFmt formatCode="General" sourceLinked="0"/>
        <c:majorTickMark val="none"/>
        <c:minorTickMark val="none"/>
        <c:tickLblPos val="nextTo"/>
        <c:txPr>
          <a:bodyPr/>
          <a:lstStyle/>
          <a:p>
            <a:pPr>
              <a:defRPr lang="es-ES"/>
            </a:pPr>
            <a:endParaRPr lang="es-EC"/>
          </a:p>
        </c:txPr>
        <c:crossAx val="370613280"/>
        <c:crosses val="autoZero"/>
        <c:auto val="1"/>
        <c:lblAlgn val="ctr"/>
        <c:lblOffset val="100"/>
        <c:noMultiLvlLbl val="0"/>
      </c:catAx>
      <c:valAx>
        <c:axId val="370613280"/>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0614848"/>
        <c:crosses val="autoZero"/>
        <c:crossBetween val="between"/>
      </c:valAx>
    </c:plotArea>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DE ACTIVO 2010</a:t>
            </a:r>
          </a:p>
        </c:rich>
      </c:tx>
      <c:overlay val="0"/>
    </c:title>
    <c:autoTitleDeleted val="0"/>
    <c:plotArea>
      <c:layout/>
      <c:pieChart>
        <c:varyColors val="1"/>
        <c:ser>
          <c:idx val="0"/>
          <c:order val="0"/>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laboratorios!$M$89:$M$90</c:f>
              <c:numCache>
                <c:formatCode>0%</c:formatCode>
                <c:ptCount val="2"/>
                <c:pt idx="0">
                  <c:v>0.8399119817732168</c:v>
                </c:pt>
                <c:pt idx="1">
                  <c:v>0.16008801822678295</c:v>
                </c:pt>
              </c:numCache>
            </c:numRef>
          </c:val>
        </c:ser>
        <c:dLbls>
          <c:showLegendKey val="0"/>
          <c:showVal val="0"/>
          <c:showCatName val="0"/>
          <c:showSerName val="0"/>
          <c:showPercent val="1"/>
          <c:showBubbleSize val="0"/>
          <c:showLeaderLines val="0"/>
        </c:dLbls>
        <c:firstSliceAng val="0"/>
      </c:pieChart>
    </c:plotArea>
    <c:legend>
      <c:legendPos val="r"/>
      <c:overlay val="0"/>
      <c:txPr>
        <a:bodyPr/>
        <a:lstStyle/>
        <a:p>
          <a:pPr rtl="0">
            <a:defRPr lang="es-ES"/>
          </a:pPr>
          <a:endParaRPr lang="es-EC"/>
        </a:p>
      </c:txPr>
    </c:legend>
    <c:plotVisOnly val="1"/>
    <c:dispBlanksAs val="zero"/>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DE ACTIVO LABORATORIOS GUAYAQUIL 2009</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laboratorios!$B$123:$B$136</c:f>
              <c:strCache>
                <c:ptCount val="14"/>
                <c:pt idx="0">
                  <c:v>LAB.FIF.MASTER PLANT </c:v>
                </c:pt>
                <c:pt idx="1">
                  <c:v>LABORATORIOS LIFE C.A</c:v>
                </c:pt>
                <c:pt idx="2">
                  <c:v>LUBORATORIOS LUPERA </c:v>
                </c:pt>
                <c:pt idx="3">
                  <c:v>FROSHER CIA LTDA</c:v>
                </c:pt>
                <c:pt idx="4">
                  <c:v>LABORATORIOS CHEFAR</c:v>
                </c:pt>
                <c:pt idx="5">
                  <c:v>ACROMAX LABORATORIO</c:v>
                </c:pt>
                <c:pt idx="6">
                  <c:v>LABORATORIO FARMACEUTICO WEIR </c:v>
                </c:pt>
                <c:pt idx="7">
                  <c:v>LABORATORIOS TOFIS</c:v>
                </c:pt>
                <c:pt idx="8">
                  <c:v>BIONATUS LABORATORIOS R</c:v>
                </c:pt>
                <c:pt idx="9">
                  <c:v>LABORATORIOS LIFARLIT </c:v>
                </c:pt>
                <c:pt idx="10">
                  <c:v>NETLAB S.A.</c:v>
                </c:pt>
                <c:pt idx="11">
                  <c:v>QUALIPHARM LABORATORIO  </c:v>
                </c:pt>
                <c:pt idx="12">
                  <c:v> INDUNIDAS</c:v>
                </c:pt>
                <c:pt idx="13">
                  <c:v>KRONOS LABORATORIOS</c:v>
                </c:pt>
              </c:strCache>
            </c:strRef>
          </c:cat>
          <c:val>
            <c:numRef>
              <c:f>laboratorios!$F$123:$F$136</c:f>
              <c:numCache>
                <c:formatCode>0.000</c:formatCode>
                <c:ptCount val="14"/>
                <c:pt idx="1">
                  <c:v>6.092287791254563E-2</c:v>
                </c:pt>
                <c:pt idx="2">
                  <c:v>3.4129218722792021E-7</c:v>
                </c:pt>
                <c:pt idx="3">
                  <c:v>2.685300131183542E-8</c:v>
                </c:pt>
                <c:pt idx="4">
                  <c:v>7.7825596327178536E-5</c:v>
                </c:pt>
                <c:pt idx="5">
                  <c:v>6.7298182824019129E-2</c:v>
                </c:pt>
                <c:pt idx="6">
                  <c:v>0</c:v>
                </c:pt>
                <c:pt idx="7">
                  <c:v>0.13592476399657</c:v>
                </c:pt>
                <c:pt idx="8">
                  <c:v>2.1336465216432807E-6</c:v>
                </c:pt>
                <c:pt idx="9">
                  <c:v>1.2199557818958206E-5</c:v>
                </c:pt>
                <c:pt idx="10">
                  <c:v>5.3589634338047738E-4</c:v>
                </c:pt>
                <c:pt idx="11">
                  <c:v>4.0410129959988242E-4</c:v>
                </c:pt>
                <c:pt idx="12">
                  <c:v>6.5424531340227543E-5</c:v>
                </c:pt>
                <c:pt idx="13">
                  <c:v>3.5060630109837007E-3</c:v>
                </c:pt>
              </c:numCache>
            </c:numRef>
          </c:val>
        </c:ser>
        <c:dLbls>
          <c:showLegendKey val="0"/>
          <c:showVal val="1"/>
          <c:showCatName val="0"/>
          <c:showSerName val="0"/>
          <c:showPercent val="0"/>
          <c:showBubbleSize val="0"/>
        </c:dLbls>
        <c:gapWidth val="150"/>
        <c:overlap val="-25"/>
        <c:axId val="370610928"/>
        <c:axId val="370614064"/>
      </c:barChart>
      <c:catAx>
        <c:axId val="370610928"/>
        <c:scaling>
          <c:orientation val="minMax"/>
        </c:scaling>
        <c:delete val="0"/>
        <c:axPos val="l"/>
        <c:numFmt formatCode="General" sourceLinked="0"/>
        <c:majorTickMark val="none"/>
        <c:minorTickMark val="none"/>
        <c:tickLblPos val="nextTo"/>
        <c:txPr>
          <a:bodyPr/>
          <a:lstStyle/>
          <a:p>
            <a:pPr>
              <a:defRPr lang="es-ES"/>
            </a:pPr>
            <a:endParaRPr lang="es-EC"/>
          </a:p>
        </c:txPr>
        <c:crossAx val="370614064"/>
        <c:crosses val="autoZero"/>
        <c:auto val="1"/>
        <c:lblAlgn val="ctr"/>
        <c:lblOffset val="100"/>
        <c:noMultiLvlLbl val="0"/>
      </c:catAx>
      <c:valAx>
        <c:axId val="370614064"/>
        <c:scaling>
          <c:orientation val="minMax"/>
        </c:scaling>
        <c:delete val="1"/>
        <c:axPos val="b"/>
        <c:numFmt formatCode="0.000" sourceLinked="1"/>
        <c:majorTickMark val="out"/>
        <c:minorTickMark val="none"/>
        <c:tickLblPos val="none"/>
        <c:crossAx val="370610928"/>
        <c:crosses val="autoZero"/>
        <c:crossBetween val="between"/>
      </c:valAx>
    </c:plotArea>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6"/>
    </mc:Choice>
    <mc:Fallback>
      <c:style val="46"/>
    </mc:Fallback>
  </mc:AlternateContent>
  <c:chart>
    <c:title>
      <c:tx>
        <c:rich>
          <a:bodyPr/>
          <a:lstStyle/>
          <a:p>
            <a:pPr>
              <a:defRPr lang="es-ES"/>
            </a:pPr>
            <a:r>
              <a:rPr lang="en-US"/>
              <a:t>PORCENTAJE DE CONCENTRACIÓN LABORATORIOS DE GUAYAQUIL 2009</a:t>
            </a:r>
          </a:p>
          <a:p>
            <a:pPr>
              <a:defRPr lang="es-ES"/>
            </a:pPr>
            <a:endParaRPr lang="en-US"/>
          </a:p>
        </c:rich>
      </c:tx>
      <c:overlay val="0"/>
    </c:title>
    <c:autoTitleDeleted val="0"/>
    <c:plotArea>
      <c:layout/>
      <c:pieChart>
        <c:varyColors val="1"/>
        <c:ser>
          <c:idx val="0"/>
          <c:order val="0"/>
          <c:explosion val="25"/>
          <c:dLbls>
            <c:spPr>
              <a:noFill/>
              <a:ln>
                <a:noFill/>
              </a:ln>
              <a:effectLst/>
            </c:spPr>
            <c:txPr>
              <a:bodyPr/>
              <a:lstStyle/>
              <a:p>
                <a:pPr>
                  <a:defRPr lang="es-ES" sz="11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laboratorios!$I$139:$I$140</c:f>
              <c:numCache>
                <c:formatCode>0%</c:formatCode>
                <c:ptCount val="2"/>
                <c:pt idx="0">
                  <c:v>0.93548387096774077</c:v>
                </c:pt>
                <c:pt idx="1">
                  <c:v>6.4137931034482912E-2</c:v>
                </c:pt>
              </c:numCache>
            </c:numRef>
          </c:val>
        </c:ser>
        <c:dLbls>
          <c:showLegendKey val="0"/>
          <c:showVal val="0"/>
          <c:showCatName val="0"/>
          <c:showSerName val="0"/>
          <c:showPercent val="1"/>
          <c:showBubbleSize val="0"/>
          <c:showLeaderLines val="1"/>
        </c:dLbls>
        <c:firstSliceAng val="0"/>
      </c:pieChart>
    </c:plotArea>
    <c:plotVisOnly val="1"/>
    <c:dispBlanksAs val="zero"/>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DE ACTIVO LABORATORIOS GUAYAQUIL 2010</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laboratorios!$B$123:$B$136</c:f>
              <c:strCache>
                <c:ptCount val="14"/>
                <c:pt idx="0">
                  <c:v>LAB.FIF.MASTER PLANT </c:v>
                </c:pt>
                <c:pt idx="1">
                  <c:v>LABORATORIOS LIFE C.A</c:v>
                </c:pt>
                <c:pt idx="2">
                  <c:v>LUBORATORIOS LUPERA </c:v>
                </c:pt>
                <c:pt idx="3">
                  <c:v>FROSHER CIA LTDA</c:v>
                </c:pt>
                <c:pt idx="4">
                  <c:v>LABORATORIOS CHEFAR</c:v>
                </c:pt>
                <c:pt idx="5">
                  <c:v>ACROMAX LABORATORIO</c:v>
                </c:pt>
                <c:pt idx="6">
                  <c:v>LABORATORIO FARMACEUTICO WEIR </c:v>
                </c:pt>
                <c:pt idx="7">
                  <c:v>LABORATORIOS TOFIS</c:v>
                </c:pt>
                <c:pt idx="8">
                  <c:v>BIONATUS LABORATORIOS R</c:v>
                </c:pt>
                <c:pt idx="9">
                  <c:v>LABORATORIOS LIFARLIT </c:v>
                </c:pt>
                <c:pt idx="10">
                  <c:v>NETLAB S.A.</c:v>
                </c:pt>
                <c:pt idx="11">
                  <c:v>QUALIPHARM LABORATORIO  </c:v>
                </c:pt>
                <c:pt idx="12">
                  <c:v> INDUNIDAS</c:v>
                </c:pt>
                <c:pt idx="13">
                  <c:v>KRONOS LABORATORIOS</c:v>
                </c:pt>
              </c:strCache>
            </c:strRef>
          </c:cat>
          <c:val>
            <c:numRef>
              <c:f>laboratorios!$H$123:$H$136</c:f>
              <c:numCache>
                <c:formatCode>0.00</c:formatCode>
                <c:ptCount val="14"/>
                <c:pt idx="0">
                  <c:v>0</c:v>
                </c:pt>
                <c:pt idx="1">
                  <c:v>207.74683001951666</c:v>
                </c:pt>
                <c:pt idx="2">
                  <c:v>0</c:v>
                </c:pt>
                <c:pt idx="3">
                  <c:v>4.8469753437744817E-5</c:v>
                </c:pt>
                <c:pt idx="4">
                  <c:v>741.0325447266456</c:v>
                </c:pt>
                <c:pt idx="5">
                  <c:v>699.1087374173901</c:v>
                </c:pt>
                <c:pt idx="6">
                  <c:v>8.7888563435427197E-2</c:v>
                </c:pt>
                <c:pt idx="7">
                  <c:v>628.01831300217304</c:v>
                </c:pt>
                <c:pt idx="8">
                  <c:v>4.570664311778232E-3</c:v>
                </c:pt>
                <c:pt idx="9">
                  <c:v>3.8954155920014701E-2</c:v>
                </c:pt>
                <c:pt idx="10">
                  <c:v>1.1768951366718465</c:v>
                </c:pt>
                <c:pt idx="11">
                  <c:v>3.1061194027917001</c:v>
                </c:pt>
                <c:pt idx="12">
                  <c:v>0.1364996935688611</c:v>
                </c:pt>
                <c:pt idx="13">
                  <c:v>8.9070776106364988</c:v>
                </c:pt>
              </c:numCache>
            </c:numRef>
          </c:val>
        </c:ser>
        <c:dLbls>
          <c:showLegendKey val="0"/>
          <c:showVal val="1"/>
          <c:showCatName val="0"/>
          <c:showSerName val="0"/>
          <c:showPercent val="0"/>
          <c:showBubbleSize val="0"/>
        </c:dLbls>
        <c:gapWidth val="150"/>
        <c:overlap val="-25"/>
        <c:axId val="370606224"/>
        <c:axId val="370621120"/>
      </c:barChart>
      <c:catAx>
        <c:axId val="370606224"/>
        <c:scaling>
          <c:orientation val="minMax"/>
        </c:scaling>
        <c:delete val="0"/>
        <c:axPos val="l"/>
        <c:numFmt formatCode="General" sourceLinked="0"/>
        <c:majorTickMark val="none"/>
        <c:minorTickMark val="none"/>
        <c:tickLblPos val="nextTo"/>
        <c:txPr>
          <a:bodyPr/>
          <a:lstStyle/>
          <a:p>
            <a:pPr>
              <a:defRPr lang="es-ES"/>
            </a:pPr>
            <a:endParaRPr lang="es-EC"/>
          </a:p>
        </c:txPr>
        <c:crossAx val="370621120"/>
        <c:crosses val="autoZero"/>
        <c:auto val="1"/>
        <c:lblAlgn val="ctr"/>
        <c:lblOffset val="100"/>
        <c:noMultiLvlLbl val="0"/>
      </c:catAx>
      <c:valAx>
        <c:axId val="370621120"/>
        <c:scaling>
          <c:orientation val="minMax"/>
        </c:scaling>
        <c:delete val="1"/>
        <c:axPos val="b"/>
        <c:numFmt formatCode="0.00" sourceLinked="1"/>
        <c:majorTickMark val="out"/>
        <c:minorTickMark val="none"/>
        <c:tickLblPos val="none"/>
        <c:crossAx val="370606224"/>
        <c:crosses val="autoZero"/>
        <c:crossBetween val="between"/>
      </c:valAx>
      <c:spPr>
        <a:gradFill>
          <a:gsLst>
            <a:gs pos="0">
              <a:srgbClr val="7030A0"/>
            </a:gs>
            <a:gs pos="50000">
              <a:srgbClr val="4F81BD">
                <a:tint val="44500"/>
                <a:satMod val="160000"/>
              </a:srgbClr>
            </a:gs>
            <a:gs pos="100000">
              <a:srgbClr val="4F81BD">
                <a:tint val="23500"/>
                <a:satMod val="160000"/>
              </a:srgbClr>
            </a:gs>
          </a:gsLst>
          <a:lin ang="5400000" scaled="0"/>
        </a:gradFill>
      </c:spPr>
    </c:plotArea>
    <c:legend>
      <c:legendPos val="t"/>
      <c:overlay val="0"/>
      <c:txPr>
        <a:bodyPr/>
        <a:lstStyle/>
        <a:p>
          <a:pPr>
            <a:defRPr lang="es-ES"/>
          </a:pPr>
          <a:endParaRPr lang="es-EC"/>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CONCENTRACIÓN  DE DE ACTIVO GUAYAQUIL 2010</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lang="es-ES" sz="1200"/>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laboratorios!$F$140:$G$140</c:f>
              <c:numCache>
                <c:formatCode>0%</c:formatCode>
                <c:ptCount val="2"/>
                <c:pt idx="0">
                  <c:v>0.932240283711118</c:v>
                </c:pt>
                <c:pt idx="1">
                  <c:v>6.7759716288881625E-2</c:v>
                </c:pt>
              </c:numCache>
            </c:numRef>
          </c:val>
        </c:ser>
        <c:dLbls>
          <c:showLegendKey val="0"/>
          <c:showVal val="0"/>
          <c:showCatName val="0"/>
          <c:showSerName val="0"/>
          <c:showPercent val="1"/>
          <c:showBubbleSize val="0"/>
          <c:showLeaderLines val="1"/>
        </c:dLbls>
      </c:pie3DChart>
    </c:plotArea>
    <c:plotVisOnly val="1"/>
    <c:dispBlanksAs val="zero"/>
    <c:showDLblsOverMax val="0"/>
  </c:chart>
  <c:spPr>
    <a:gradFill>
      <a:gsLst>
        <a:gs pos="0">
          <a:srgbClr val="00B0F0"/>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RENTABILIDAD 2009 QUITO</a:t>
            </a:r>
          </a:p>
        </c:rich>
      </c:tx>
      <c:overlay val="0"/>
    </c:title>
    <c:autoTitleDeleted val="0"/>
    <c:plotArea>
      <c:layout>
        <c:manualLayout>
          <c:layoutTarget val="inner"/>
          <c:xMode val="edge"/>
          <c:yMode val="edge"/>
          <c:x val="0.16306380886679206"/>
          <c:y val="9.0323939770686534E-2"/>
          <c:w val="0.83693619113320783"/>
          <c:h val="0.89964100704517347"/>
        </c:manualLayout>
      </c:layout>
      <c:barChart>
        <c:barDir val="bar"/>
        <c:grouping val="stacked"/>
        <c:varyColors val="0"/>
        <c:ser>
          <c:idx val="0"/>
          <c:order val="0"/>
          <c:invertIfNegative val="0"/>
          <c:dLbls>
            <c:dLbl>
              <c:idx val="0"/>
              <c:layout>
                <c:manualLayout>
                  <c:x val="6.0422960725075511E-2"/>
                  <c:y val="0"/>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2366565961732205E-2"/>
                  <c:y val="2.1929824561403499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38066465256803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243705941591142E-2"/>
                  <c:y val="4.3859649122806998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5.2366565961732205E-2"/>
                  <c:y val="2.1929824561403499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438066465256803E-2"/>
                  <c:y val="8.0408427840126805E-17"/>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5.639476334340391E-2"/>
                  <c:y val="-2.1929824561402697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6.4451158106747175E-2"/>
                  <c:y val="-8.0408427840126805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4.8338368580060409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0352467270896324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2296072507552906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6465256797583097E-2"/>
                  <c:y val="4.3859649122806998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27391742195367613"/>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7.6535750251762333E-2"/>
                  <c:y val="0"/>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7.4521651560926522E-2"/>
                  <c:y val="4.3859649122806998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6.6465256797583097E-2"/>
                  <c:y val="-2.1929824561403499E-3"/>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6.4451158106747175E-2"/>
                  <c:y val="0"/>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9.6676737160120707E-2"/>
                  <c:y val="0"/>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5.63947633434039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laboratorios!$B$261:$B$282</c:f>
              <c:strCache>
                <c:ptCount val="22"/>
                <c:pt idx="0">
                  <c:v>OBSIDIAN CIA.LTDA</c:v>
                </c:pt>
                <c:pt idx="1">
                  <c:v>INTEGRAMED S.A</c:v>
                </c:pt>
                <c:pt idx="2">
                  <c:v> LAQUIN CIA. LTDA.</c:v>
                </c:pt>
                <c:pt idx="3">
                  <c:v>AVENTIS  PHARMA S.A.</c:v>
                </c:pt>
                <c:pt idx="4">
                  <c:v>GENETIKAFARMA S.A.</c:v>
                </c:pt>
                <c:pt idx="5">
                  <c:v>NIPRO MEDICAL CORPORATION</c:v>
                </c:pt>
                <c:pt idx="6">
                  <c:v>MEAD JHONSON NUTRITION CIA.LTDA.</c:v>
                </c:pt>
                <c:pt idx="7">
                  <c:v>LABORATORIOS SIEGFRIED S.A.</c:v>
                </c:pt>
                <c:pt idx="8">
                  <c:v>INDUPHARMA ECUATORIANA S.A.</c:v>
                </c:pt>
                <c:pt idx="9">
                  <c:v>JAMES BROWN PHARMA C.A.</c:v>
                </c:pt>
                <c:pt idx="10">
                  <c:v>LAB-NYSE CIA LTDA.0</c:v>
                </c:pt>
                <c:pt idx="11">
                  <c:v>LIRA LABORATORIOS INDUSTRIALES S.A.</c:v>
                </c:pt>
                <c:pt idx="12">
                  <c:v>LABORATORIO  LAMOSAN CIA.LTDA.</c:v>
                </c:pt>
                <c:pt idx="13">
                  <c:v>PFIZER CIA. LTDA</c:v>
                </c:pt>
                <c:pt idx="14">
                  <c:v>LABORATORIOS BIOPAS S.A.</c:v>
                </c:pt>
                <c:pt idx="15">
                  <c:v>INTERMEDICA</c:v>
                </c:pt>
                <c:pt idx="16">
                  <c:v>LABORATORIOS BIOGENET</c:v>
                </c:pt>
                <c:pt idx="17">
                  <c:v>EUROLAB</c:v>
                </c:pt>
                <c:pt idx="18">
                  <c:v>INDUSTRIA FERROMEDICA CLA.LTDA.</c:v>
                </c:pt>
                <c:pt idx="19">
                  <c:v>LABORATORIOS LAFRANCOL ECUADOR S.A.</c:v>
                </c:pt>
                <c:pt idx="20">
                  <c:v>ABBOTT  LABORATORIOS</c:v>
                </c:pt>
                <c:pt idx="21">
                  <c:v>QUIMICA ARISTON ECUADOR  CIA.LTDA.</c:v>
                </c:pt>
              </c:strCache>
            </c:strRef>
          </c:cat>
          <c:val>
            <c:numRef>
              <c:f>laboratorios!$E$261:$E$282</c:f>
              <c:numCache>
                <c:formatCode>0.00</c:formatCode>
                <c:ptCount val="22"/>
                <c:pt idx="0">
                  <c:v>0.89971842669749125</c:v>
                </c:pt>
                <c:pt idx="1">
                  <c:v>0.31282215875883812</c:v>
                </c:pt>
                <c:pt idx="2">
                  <c:v>0.22161308718543207</c:v>
                </c:pt>
                <c:pt idx="3">
                  <c:v>-23.013272774649781</c:v>
                </c:pt>
                <c:pt idx="4">
                  <c:v>0.106497815791121</c:v>
                </c:pt>
                <c:pt idx="5">
                  <c:v>3.0539736999418929</c:v>
                </c:pt>
                <c:pt idx="6">
                  <c:v>3.7616450532241354</c:v>
                </c:pt>
                <c:pt idx="7">
                  <c:v>2.1217317593545877</c:v>
                </c:pt>
                <c:pt idx="8">
                  <c:v>-6.4102286523012225E-2</c:v>
                </c:pt>
                <c:pt idx="9">
                  <c:v>1.9767735623895504</c:v>
                </c:pt>
                <c:pt idx="10">
                  <c:v>0.12536766012498596</c:v>
                </c:pt>
                <c:pt idx="11">
                  <c:v>0.11889083959834097</c:v>
                </c:pt>
                <c:pt idx="12">
                  <c:v>2.9367562907926579</c:v>
                </c:pt>
                <c:pt idx="13">
                  <c:v>80.620583108612678</c:v>
                </c:pt>
                <c:pt idx="14">
                  <c:v>0.11474721152346798</c:v>
                </c:pt>
                <c:pt idx="15">
                  <c:v>8.3138433624898506E-2</c:v>
                </c:pt>
                <c:pt idx="16">
                  <c:v>4.0803699695078404</c:v>
                </c:pt>
                <c:pt idx="17">
                  <c:v>4.0803699695078404</c:v>
                </c:pt>
                <c:pt idx="18">
                  <c:v>0</c:v>
                </c:pt>
                <c:pt idx="19">
                  <c:v>0</c:v>
                </c:pt>
                <c:pt idx="20">
                  <c:v>16.076254982307979</c:v>
                </c:pt>
                <c:pt idx="21">
                  <c:v>2.3861210322290551</c:v>
                </c:pt>
              </c:numCache>
            </c:numRef>
          </c:val>
        </c:ser>
        <c:dLbls>
          <c:showLegendKey val="0"/>
          <c:showVal val="1"/>
          <c:showCatName val="0"/>
          <c:showSerName val="0"/>
          <c:showPercent val="0"/>
          <c:showBubbleSize val="0"/>
        </c:dLbls>
        <c:gapWidth val="95"/>
        <c:overlap val="100"/>
        <c:axId val="370618376"/>
        <c:axId val="370621512"/>
      </c:barChart>
      <c:catAx>
        <c:axId val="370618376"/>
        <c:scaling>
          <c:orientation val="minMax"/>
        </c:scaling>
        <c:delete val="0"/>
        <c:axPos val="l"/>
        <c:numFmt formatCode="General" sourceLinked="0"/>
        <c:majorTickMark val="none"/>
        <c:minorTickMark val="none"/>
        <c:tickLblPos val="nextTo"/>
        <c:txPr>
          <a:bodyPr/>
          <a:lstStyle/>
          <a:p>
            <a:pPr>
              <a:defRPr lang="es-ES"/>
            </a:pPr>
            <a:endParaRPr lang="es-EC"/>
          </a:p>
        </c:txPr>
        <c:crossAx val="370621512"/>
        <c:crosses val="autoZero"/>
        <c:auto val="1"/>
        <c:lblAlgn val="ctr"/>
        <c:lblOffset val="100"/>
        <c:noMultiLvlLbl val="0"/>
      </c:catAx>
      <c:valAx>
        <c:axId val="370621512"/>
        <c:scaling>
          <c:orientation val="minMax"/>
        </c:scaling>
        <c:delete val="1"/>
        <c:axPos val="b"/>
        <c:numFmt formatCode="0.00" sourceLinked="1"/>
        <c:majorTickMark val="none"/>
        <c:minorTickMark val="none"/>
        <c:tickLblPos val="none"/>
        <c:crossAx val="370618376"/>
        <c:crosses val="autoZero"/>
        <c:crossBetween val="between"/>
      </c:valAx>
      <c:spPr>
        <a:gradFill>
          <a:gsLst>
            <a:gs pos="0">
              <a:srgbClr val="00B0F0"/>
            </a:gs>
            <a:gs pos="50000">
              <a:srgbClr val="4F81BD">
                <a:tint val="44500"/>
                <a:satMod val="160000"/>
              </a:srgbClr>
            </a:gs>
            <a:gs pos="100000">
              <a:srgbClr val="4F81BD">
                <a:tint val="23500"/>
                <a:satMod val="160000"/>
              </a:srgbClr>
            </a:gs>
          </a:gsLst>
          <a:lin ang="5400000" scaled="0"/>
        </a:gradFill>
      </c:spPr>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6"/>
    </mc:Choice>
    <mc:Fallback>
      <c:style val="6"/>
    </mc:Fallback>
  </mc:AlternateContent>
  <c:chart>
    <c:autoTitleDeleted val="1"/>
    <c:view3D>
      <c:rotX val="15"/>
      <c:rotY val="20"/>
      <c:rAngAx val="0"/>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Hoja1!$B$58:$B$71</c:f>
              <c:strCache>
                <c:ptCount val="14"/>
                <c:pt idx="0">
                  <c:v>CLINICA  MARÍA AUXILIADORA</c:v>
                </c:pt>
                <c:pt idx="1">
                  <c:v>CENTRO CEFAVIS  SANA S.A.</c:v>
                </c:pt>
                <c:pt idx="2">
                  <c:v>CLINICA  GALENOSS.A</c:v>
                </c:pt>
                <c:pt idx="3">
                  <c:v>CLINICA MODERNA CIA.LTDA</c:v>
                </c:pt>
                <c:pt idx="4">
                  <c:v>CLINICA  OLIMPUS SASEBIS.A</c:v>
                </c:pt>
                <c:pt idx="5">
                  <c:v>CLINICA SAN GABRIEL  </c:v>
                </c:pt>
                <c:pt idx="6">
                  <c:v>CLINICA CLIGEVISA CIA.LTDA</c:v>
                </c:pt>
                <c:pt idx="7">
                  <c:v>CLINICA CONOCOTO  </c:v>
                </c:pt>
                <c:pt idx="8">
                  <c:v>CLINICA  CEMEDSSO CIA LTDA.</c:v>
                </c:pt>
                <c:pt idx="9">
                  <c:v>HOSPITAL INGLES CIA. LTDA.</c:v>
                </c:pt>
                <c:pt idx="10">
                  <c:v>CENTRO CENTROMAMARIA </c:v>
                </c:pt>
                <c:pt idx="11">
                  <c:v>NOVACLINICA</c:v>
                </c:pt>
                <c:pt idx="12">
                  <c:v>TECOCEL S.A.  </c:v>
                </c:pt>
                <c:pt idx="13">
                  <c:v>CLINICA INGLATERRA</c:v>
                </c:pt>
              </c:strCache>
            </c:strRef>
          </c:cat>
          <c:val>
            <c:numRef>
              <c:f>Hoja1!$H$58:$H$71</c:f>
              <c:numCache>
                <c:formatCode>0.00</c:formatCode>
                <c:ptCount val="14"/>
                <c:pt idx="0">
                  <c:v>0.36830301245366609</c:v>
                </c:pt>
                <c:pt idx="1">
                  <c:v>9.4942604173823728E-4</c:v>
                </c:pt>
                <c:pt idx="2">
                  <c:v>0.42725255253731292</c:v>
                </c:pt>
                <c:pt idx="3">
                  <c:v>0.234405970673354</c:v>
                </c:pt>
                <c:pt idx="4">
                  <c:v>9.8808365010952456E-3</c:v>
                </c:pt>
                <c:pt idx="5">
                  <c:v>0</c:v>
                </c:pt>
                <c:pt idx="6">
                  <c:v>0</c:v>
                </c:pt>
                <c:pt idx="7">
                  <c:v>1.24443039180945E-2</c:v>
                </c:pt>
                <c:pt idx="8">
                  <c:v>0</c:v>
                </c:pt>
                <c:pt idx="9">
                  <c:v>2.4081452998387567</c:v>
                </c:pt>
                <c:pt idx="10">
                  <c:v>0</c:v>
                </c:pt>
                <c:pt idx="11">
                  <c:v>113.5008154457618</c:v>
                </c:pt>
                <c:pt idx="12">
                  <c:v>7362.2733542646865</c:v>
                </c:pt>
                <c:pt idx="13">
                  <c:v>0</c:v>
                </c:pt>
              </c:numCache>
            </c:numRef>
          </c:val>
        </c:ser>
        <c:dLbls>
          <c:showLegendKey val="0"/>
          <c:showVal val="0"/>
          <c:showCatName val="0"/>
          <c:showSerName val="0"/>
          <c:showPercent val="0"/>
          <c:showBubbleSize val="0"/>
        </c:dLbls>
        <c:gapWidth val="75"/>
        <c:shape val="box"/>
        <c:axId val="360087536"/>
        <c:axId val="360086752"/>
        <c:axId val="0"/>
      </c:bar3DChart>
      <c:catAx>
        <c:axId val="360087536"/>
        <c:scaling>
          <c:orientation val="minMax"/>
        </c:scaling>
        <c:delete val="0"/>
        <c:axPos val="b"/>
        <c:numFmt formatCode="General" sourceLinked="0"/>
        <c:majorTickMark val="none"/>
        <c:minorTickMark val="none"/>
        <c:tickLblPos val="nextTo"/>
        <c:txPr>
          <a:bodyPr/>
          <a:lstStyle/>
          <a:p>
            <a:pPr>
              <a:defRPr lang="es-ES"/>
            </a:pPr>
            <a:endParaRPr lang="es-EC"/>
          </a:p>
        </c:txPr>
        <c:crossAx val="360086752"/>
        <c:crosses val="autoZero"/>
        <c:auto val="1"/>
        <c:lblAlgn val="ctr"/>
        <c:lblOffset val="100"/>
        <c:noMultiLvlLbl val="0"/>
      </c:catAx>
      <c:valAx>
        <c:axId val="360086752"/>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EC"/>
          </a:p>
        </c:txPr>
        <c:crossAx val="360087536"/>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CONCENTRANCIÓN DE RENTABILIDAD 2009 QUITO</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laboratorios!$B$261:$B$282</c:f>
              <c:strCache>
                <c:ptCount val="22"/>
                <c:pt idx="0">
                  <c:v>OBSIDIAN </c:v>
                </c:pt>
                <c:pt idx="1">
                  <c:v>INTEGRAMED </c:v>
                </c:pt>
                <c:pt idx="2">
                  <c:v> LAQUIN .</c:v>
                </c:pt>
                <c:pt idx="3">
                  <c:v>AVENTIS  PHARMA.</c:v>
                </c:pt>
                <c:pt idx="4">
                  <c:v>GENETIKAFARMA.</c:v>
                </c:pt>
                <c:pt idx="5">
                  <c:v>NIPRO MEDICAL CORPORATION</c:v>
                </c:pt>
                <c:pt idx="6">
                  <c:v>MEAD JHONSON NUTRITION .</c:v>
                </c:pt>
                <c:pt idx="7">
                  <c:v>LABORATORIOS SIEGFRIED</c:v>
                </c:pt>
                <c:pt idx="8">
                  <c:v>INDUPHARMA ECUATORIANA</c:v>
                </c:pt>
                <c:pt idx="9">
                  <c:v>JAMES BROWN PHARMA</c:v>
                </c:pt>
                <c:pt idx="10">
                  <c:v>LAB-NYSE CIA LTDA.0</c:v>
                </c:pt>
                <c:pt idx="11">
                  <c:v>LIRA LABORATORIOS</c:v>
                </c:pt>
                <c:pt idx="12">
                  <c:v>LABORATORIO  LAMOSAN </c:v>
                </c:pt>
                <c:pt idx="13">
                  <c:v>PFIZER </c:v>
                </c:pt>
                <c:pt idx="14">
                  <c:v>LABORATORIOS BIOPAS</c:v>
                </c:pt>
                <c:pt idx="15">
                  <c:v>INTERMEDICA</c:v>
                </c:pt>
                <c:pt idx="16">
                  <c:v>LABORATORIOS BIOGENET</c:v>
                </c:pt>
                <c:pt idx="17">
                  <c:v>EUROLAB</c:v>
                </c:pt>
                <c:pt idx="18">
                  <c:v>INDUSTRIA FERROMEDICA </c:v>
                </c:pt>
                <c:pt idx="19">
                  <c:v>LABORATORIOS LAFRANCOL</c:v>
                </c:pt>
                <c:pt idx="20">
                  <c:v>ABBOTT  LABORATORIOS</c:v>
                </c:pt>
                <c:pt idx="21">
                  <c:v>QUIMICA ARISTON ECUADOR  </c:v>
                </c:pt>
              </c:strCache>
            </c:strRef>
          </c:cat>
          <c:val>
            <c:numRef>
              <c:f>laboratorios!$F$261:$F$282</c:f>
              <c:numCache>
                <c:formatCode>0.00</c:formatCode>
                <c:ptCount val="22"/>
                <c:pt idx="0">
                  <c:v>0.80949324733900718</c:v>
                </c:pt>
                <c:pt idx="1">
                  <c:v>9.7857703010539129E-2</c:v>
                </c:pt>
                <c:pt idx="2">
                  <c:v>4.9112360411857625E-2</c:v>
                </c:pt>
                <c:pt idx="3">
                  <c:v>529.61072380043686</c:v>
                </c:pt>
                <c:pt idx="4">
                  <c:v>1.1341784768279602E-2</c:v>
                </c:pt>
                <c:pt idx="5">
                  <c:v>9.3267553599367758</c:v>
                </c:pt>
                <c:pt idx="6">
                  <c:v>14.149973506445619</c:v>
                </c:pt>
                <c:pt idx="7">
                  <c:v>4.5017456586538884</c:v>
                </c:pt>
                <c:pt idx="8">
                  <c:v>4.1091031374783527E-3</c:v>
                </c:pt>
                <c:pt idx="9">
                  <c:v>3.9076337169622612</c:v>
                </c:pt>
                <c:pt idx="10">
                  <c:v>1.5717050205214106E-2</c:v>
                </c:pt>
                <c:pt idx="11">
                  <c:v>1.41350317403985E-2</c:v>
                </c:pt>
                <c:pt idx="12">
                  <c:v>8.6245375115102547</c:v>
                </c:pt>
                <c:pt idx="13">
                  <c:v>6499.6784207727314</c:v>
                </c:pt>
                <c:pt idx="14">
                  <c:v>1.3166922552411501E-2</c:v>
                </c:pt>
                <c:pt idx="15">
                  <c:v>6.9119991456016751E-3</c:v>
                </c:pt>
                <c:pt idx="16">
                  <c:v>16.649419088061286</c:v>
                </c:pt>
                <c:pt idx="17">
                  <c:v>16.649419088061286</c:v>
                </c:pt>
                <c:pt idx="18">
                  <c:v>0</c:v>
                </c:pt>
                <c:pt idx="19">
                  <c:v>0</c:v>
                </c:pt>
                <c:pt idx="20">
                  <c:v>258.4459742561811</c:v>
                </c:pt>
                <c:pt idx="21">
                  <c:v>5.6935735804458387</c:v>
                </c:pt>
              </c:numCache>
            </c:numRef>
          </c:val>
        </c:ser>
        <c:dLbls>
          <c:showLegendKey val="0"/>
          <c:showVal val="0"/>
          <c:showCatName val="0"/>
          <c:showSerName val="0"/>
          <c:showPercent val="0"/>
          <c:showBubbleSize val="0"/>
        </c:dLbls>
        <c:gapWidth val="150"/>
        <c:axId val="370620728"/>
        <c:axId val="370619160"/>
      </c:barChart>
      <c:catAx>
        <c:axId val="370620728"/>
        <c:scaling>
          <c:orientation val="minMax"/>
        </c:scaling>
        <c:delete val="0"/>
        <c:axPos val="l"/>
        <c:numFmt formatCode="General" sourceLinked="0"/>
        <c:majorTickMark val="none"/>
        <c:minorTickMark val="none"/>
        <c:tickLblPos val="nextTo"/>
        <c:txPr>
          <a:bodyPr/>
          <a:lstStyle/>
          <a:p>
            <a:pPr>
              <a:defRPr lang="es-ES"/>
            </a:pPr>
            <a:endParaRPr lang="es-EC"/>
          </a:p>
        </c:txPr>
        <c:crossAx val="370619160"/>
        <c:crosses val="autoZero"/>
        <c:auto val="1"/>
        <c:lblAlgn val="ctr"/>
        <c:lblOffset val="100"/>
        <c:noMultiLvlLbl val="0"/>
      </c:catAx>
      <c:valAx>
        <c:axId val="370619160"/>
        <c:scaling>
          <c:orientation val="minMax"/>
        </c:scaling>
        <c:delete val="0"/>
        <c:axPos val="b"/>
        <c:majorGridlines/>
        <c:numFmt formatCode="0.00" sourceLinked="1"/>
        <c:majorTickMark val="none"/>
        <c:minorTickMark val="none"/>
        <c:tickLblPos val="nextTo"/>
        <c:txPr>
          <a:bodyPr/>
          <a:lstStyle/>
          <a:p>
            <a:pPr>
              <a:defRPr lang="es-ES"/>
            </a:pPr>
            <a:endParaRPr lang="es-EC"/>
          </a:p>
        </c:txPr>
        <c:crossAx val="370620728"/>
        <c:crosses val="autoZero"/>
        <c:crossBetween val="between"/>
      </c:valAx>
    </c:plotArea>
    <c:plotVisOnly val="1"/>
    <c:dispBlanksAs val="gap"/>
    <c:showDLblsOverMax val="0"/>
  </c:chart>
  <c:spPr>
    <a:gradFill>
      <a:gsLst>
        <a:gs pos="0">
          <a:schemeClr val="tx2">
            <a:lumMod val="60000"/>
            <a:lumOff val="40000"/>
          </a:schemeClr>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CONCENTRACIÓN 2009 QUITO</a:t>
            </a:r>
          </a:p>
        </c:rich>
      </c:tx>
      <c:overlay val="0"/>
    </c:title>
    <c:autoTitleDeleted val="0"/>
    <c:plotArea>
      <c:layout/>
      <c:doughnutChart>
        <c:varyColors val="1"/>
        <c:ser>
          <c:idx val="0"/>
          <c:order val="0"/>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laboratorios!$I$285:$I$286</c:f>
              <c:numCache>
                <c:formatCode>0%</c:formatCode>
                <c:ptCount val="2"/>
                <c:pt idx="0">
                  <c:v>0.78155491814623979</c:v>
                </c:pt>
                <c:pt idx="1">
                  <c:v>0.21844508185376016</c:v>
                </c:pt>
              </c:numCache>
            </c:numRef>
          </c:val>
        </c:ser>
        <c:dLbls>
          <c:showLegendKey val="0"/>
          <c:showVal val="0"/>
          <c:showCatName val="0"/>
          <c:showSerName val="0"/>
          <c:showPercent val="1"/>
          <c:showBubbleSize val="0"/>
          <c:showLeaderLines val="0"/>
        </c:dLbls>
        <c:firstSliceAng val="0"/>
        <c:holeSize val="50"/>
      </c:doughnutChart>
    </c:plotArea>
    <c:legend>
      <c:legendPos val="r"/>
      <c:overlay val="0"/>
      <c:txPr>
        <a:bodyPr/>
        <a:lstStyle/>
        <a:p>
          <a:pPr rtl="0">
            <a:defRPr lang="es-ES"/>
          </a:pPr>
          <a:endParaRPr lang="es-EC"/>
        </a:p>
      </c:txPr>
    </c:legend>
    <c:plotVisOnly val="1"/>
    <c:dispBlanksAs val="zero"/>
    <c:showDLblsOverMax val="0"/>
  </c:chart>
  <c:spPr>
    <a:gradFill>
      <a:gsLst>
        <a:gs pos="0">
          <a:srgbClr val="7030A0"/>
        </a:gs>
        <a:gs pos="50000">
          <a:srgbClr val="4F81BD">
            <a:tint val="44500"/>
            <a:satMod val="160000"/>
          </a:srgbClr>
        </a:gs>
        <a:gs pos="100000">
          <a:srgbClr val="4F81BD">
            <a:tint val="23500"/>
            <a:satMod val="160000"/>
          </a:srgbClr>
        </a:gs>
      </a:gsLst>
      <a:lin ang="5400000" scaled="0"/>
    </a:gradFill>
  </c:sp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floor>
    <c:sideWall>
      <c:thickness val="0"/>
    </c:sideWall>
    <c:backWall>
      <c:thickness val="0"/>
    </c:backWall>
    <c:plotArea>
      <c:layout/>
      <c:bar3DChart>
        <c:barDir val="bar"/>
        <c:grouping val="clustered"/>
        <c:varyColors val="0"/>
        <c:ser>
          <c:idx val="0"/>
          <c:order val="0"/>
          <c:invertIfNegative val="0"/>
          <c:dLbls>
            <c:dLbl>
              <c:idx val="3"/>
              <c:layout>
                <c:manualLayout>
                  <c:x val="-0.28072502210433192"/>
                  <c:y val="-2.20750551876381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laboratorios!$B$261:$B$282</c:f>
              <c:strCache>
                <c:ptCount val="22"/>
                <c:pt idx="0">
                  <c:v>OBSIDIAN </c:v>
                </c:pt>
                <c:pt idx="1">
                  <c:v>INTEGRAMED </c:v>
                </c:pt>
                <c:pt idx="2">
                  <c:v> LAQUIN .</c:v>
                </c:pt>
                <c:pt idx="3">
                  <c:v>AVENTIS  PHARMA.</c:v>
                </c:pt>
                <c:pt idx="4">
                  <c:v>GENETIKAFARMA.</c:v>
                </c:pt>
                <c:pt idx="5">
                  <c:v>NIPRO MEDICAL CORPORATION</c:v>
                </c:pt>
                <c:pt idx="6">
                  <c:v>MEAD JHONSON NUTRITION .</c:v>
                </c:pt>
                <c:pt idx="7">
                  <c:v>LABORATORIOS SIEGFRIED</c:v>
                </c:pt>
                <c:pt idx="8">
                  <c:v>INDUPHARMA ECUATORIANA</c:v>
                </c:pt>
                <c:pt idx="9">
                  <c:v>JAMES BROWN PHARMA</c:v>
                </c:pt>
                <c:pt idx="10">
                  <c:v>LAB-NYSE CIA LTDA.0</c:v>
                </c:pt>
                <c:pt idx="11">
                  <c:v>LIRA LABORATORIOS</c:v>
                </c:pt>
                <c:pt idx="12">
                  <c:v>LABORATORIO  LAMOSAN </c:v>
                </c:pt>
                <c:pt idx="13">
                  <c:v>PFIZER </c:v>
                </c:pt>
                <c:pt idx="14">
                  <c:v>LABORATORIOS BIOPAS</c:v>
                </c:pt>
                <c:pt idx="15">
                  <c:v>INTERMEDICA</c:v>
                </c:pt>
                <c:pt idx="16">
                  <c:v>LABORATORIOS BIOGENET</c:v>
                </c:pt>
                <c:pt idx="17">
                  <c:v>EUROLAB</c:v>
                </c:pt>
                <c:pt idx="18">
                  <c:v>INDUSTRIA FERROMEDICA </c:v>
                </c:pt>
                <c:pt idx="19">
                  <c:v>LABORATORIOS LAFRANCOL</c:v>
                </c:pt>
                <c:pt idx="20">
                  <c:v>ABBOTT  LABORATORIOS</c:v>
                </c:pt>
                <c:pt idx="21">
                  <c:v>QUIMICA ARISTON ECUADOR  </c:v>
                </c:pt>
              </c:strCache>
            </c:strRef>
          </c:cat>
          <c:val>
            <c:numRef>
              <c:f>laboratorios!$G$261:$G$282</c:f>
              <c:numCache>
                <c:formatCode>0.00</c:formatCode>
                <c:ptCount val="22"/>
                <c:pt idx="0">
                  <c:v>0.46298116517275523</c:v>
                </c:pt>
                <c:pt idx="1">
                  <c:v>-0.29190201031138002</c:v>
                </c:pt>
                <c:pt idx="2">
                  <c:v>6.3545036309319305E-2</c:v>
                </c:pt>
                <c:pt idx="3">
                  <c:v>-31.996231095463543</c:v>
                </c:pt>
                <c:pt idx="4">
                  <c:v>0.19895461523328795</c:v>
                </c:pt>
                <c:pt idx="5">
                  <c:v>4.7338086769498284</c:v>
                </c:pt>
                <c:pt idx="6">
                  <c:v>4.2420539597651654</c:v>
                </c:pt>
                <c:pt idx="7">
                  <c:v>19.972187848130286</c:v>
                </c:pt>
                <c:pt idx="8">
                  <c:v>15.054640676283773</c:v>
                </c:pt>
                <c:pt idx="9">
                  <c:v>0</c:v>
                </c:pt>
                <c:pt idx="10">
                  <c:v>0.11078850209491098</c:v>
                </c:pt>
                <c:pt idx="11">
                  <c:v>9.6996650945806048E-2</c:v>
                </c:pt>
                <c:pt idx="12">
                  <c:v>2.5816100294137767</c:v>
                </c:pt>
                <c:pt idx="13">
                  <c:v>69.245786220707103</c:v>
                </c:pt>
                <c:pt idx="14">
                  <c:v>-2.1733119396164882</c:v>
                </c:pt>
                <c:pt idx="15">
                  <c:v>0.59758874132846462</c:v>
                </c:pt>
                <c:pt idx="16">
                  <c:v>2.7900232024038112</c:v>
                </c:pt>
                <c:pt idx="17">
                  <c:v>2.7900232024038112</c:v>
                </c:pt>
                <c:pt idx="18">
                  <c:v>0</c:v>
                </c:pt>
                <c:pt idx="19">
                  <c:v>0</c:v>
                </c:pt>
                <c:pt idx="20">
                  <c:v>9.8623616018309583</c:v>
                </c:pt>
                <c:pt idx="21">
                  <c:v>1.6580949164183401</c:v>
                </c:pt>
              </c:numCache>
            </c:numRef>
          </c:val>
        </c:ser>
        <c:dLbls>
          <c:showLegendKey val="0"/>
          <c:showVal val="1"/>
          <c:showCatName val="0"/>
          <c:showSerName val="0"/>
          <c:showPercent val="0"/>
          <c:showBubbleSize val="0"/>
        </c:dLbls>
        <c:gapWidth val="75"/>
        <c:shape val="box"/>
        <c:axId val="371357128"/>
        <c:axId val="371359480"/>
        <c:axId val="0"/>
      </c:bar3DChart>
      <c:catAx>
        <c:axId val="371357128"/>
        <c:scaling>
          <c:orientation val="minMax"/>
        </c:scaling>
        <c:delete val="0"/>
        <c:axPos val="l"/>
        <c:numFmt formatCode="General" sourceLinked="0"/>
        <c:majorTickMark val="none"/>
        <c:minorTickMark val="none"/>
        <c:tickLblPos val="nextTo"/>
        <c:txPr>
          <a:bodyPr/>
          <a:lstStyle/>
          <a:p>
            <a:pPr>
              <a:defRPr lang="es-ES"/>
            </a:pPr>
            <a:endParaRPr lang="es-EC"/>
          </a:p>
        </c:txPr>
        <c:crossAx val="371359480"/>
        <c:crosses val="autoZero"/>
        <c:auto val="1"/>
        <c:lblAlgn val="ctr"/>
        <c:lblOffset val="100"/>
        <c:noMultiLvlLbl val="0"/>
      </c:catAx>
      <c:valAx>
        <c:axId val="371359480"/>
        <c:scaling>
          <c:orientation val="minMax"/>
        </c:scaling>
        <c:delete val="0"/>
        <c:axPos val="b"/>
        <c:numFmt formatCode="0.00" sourceLinked="1"/>
        <c:majorTickMark val="none"/>
        <c:minorTickMark val="none"/>
        <c:tickLblPos val="none"/>
        <c:txPr>
          <a:bodyPr/>
          <a:lstStyle/>
          <a:p>
            <a:pPr>
              <a:defRPr lang="es-ES"/>
            </a:pPr>
            <a:endParaRPr lang="es-EC"/>
          </a:p>
        </c:txPr>
        <c:crossAx val="371357128"/>
        <c:crosses val="autoZero"/>
        <c:crossBetween val="between"/>
      </c:valAx>
    </c:plotArea>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RENTABILIDAD 2010 QUITO</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laboratorios!$B$261:$B$282</c:f>
              <c:strCache>
                <c:ptCount val="22"/>
                <c:pt idx="0">
                  <c:v>OBSIDIAN </c:v>
                </c:pt>
                <c:pt idx="1">
                  <c:v>INTEGRAMED </c:v>
                </c:pt>
                <c:pt idx="2">
                  <c:v> LAQUIN .</c:v>
                </c:pt>
                <c:pt idx="3">
                  <c:v>AVENTIS  PHARMA.</c:v>
                </c:pt>
                <c:pt idx="4">
                  <c:v>GENETIKAFARMA.</c:v>
                </c:pt>
                <c:pt idx="5">
                  <c:v>NIPRO MEDICAL CORPORATION</c:v>
                </c:pt>
                <c:pt idx="6">
                  <c:v>MEAD JHONSON NUTRITION .</c:v>
                </c:pt>
                <c:pt idx="7">
                  <c:v>LABORATORIOS SIEGFRIED</c:v>
                </c:pt>
                <c:pt idx="8">
                  <c:v>INDUPHARMA ECUATORIANA</c:v>
                </c:pt>
                <c:pt idx="9">
                  <c:v>JAMES BROWN PHARMA</c:v>
                </c:pt>
                <c:pt idx="10">
                  <c:v>LAB-NYSE CIA LTDA.0</c:v>
                </c:pt>
                <c:pt idx="11">
                  <c:v>LIRA LABORATORIOS</c:v>
                </c:pt>
                <c:pt idx="12">
                  <c:v>LABORATORIO  LAMOSAN </c:v>
                </c:pt>
                <c:pt idx="13">
                  <c:v>PFIZER </c:v>
                </c:pt>
                <c:pt idx="14">
                  <c:v>LABORATORIOS BIOPAS</c:v>
                </c:pt>
                <c:pt idx="15">
                  <c:v>INTERMEDICA</c:v>
                </c:pt>
                <c:pt idx="16">
                  <c:v>LABORATORIOS BIOGENET</c:v>
                </c:pt>
                <c:pt idx="17">
                  <c:v>EUROLAB</c:v>
                </c:pt>
                <c:pt idx="18">
                  <c:v>INDUSTRIA FERROMEDICA </c:v>
                </c:pt>
                <c:pt idx="19">
                  <c:v>LABORATORIOS LAFRANCOL</c:v>
                </c:pt>
                <c:pt idx="20">
                  <c:v>ABBOTT  LABORATORIOS</c:v>
                </c:pt>
                <c:pt idx="21">
                  <c:v>QUIMICA ARISTON ECUADOR  </c:v>
                </c:pt>
              </c:strCache>
            </c:strRef>
          </c:cat>
          <c:val>
            <c:numRef>
              <c:f>laboratorios!$H$261:$H$282</c:f>
              <c:numCache>
                <c:formatCode>0.00</c:formatCode>
                <c:ptCount val="22"/>
                <c:pt idx="0">
                  <c:v>0.214351559304721</c:v>
                </c:pt>
                <c:pt idx="1">
                  <c:v>8.5206783623825194E-2</c:v>
                </c:pt>
                <c:pt idx="2">
                  <c:v>4.0379716395527116E-3</c:v>
                </c:pt>
                <c:pt idx="3">
                  <c:v>1023.7588043143112</c:v>
                </c:pt>
                <c:pt idx="4">
                  <c:v>3.9582938922625807E-2</c:v>
                </c:pt>
                <c:pt idx="5">
                  <c:v>22.408944589965408</c:v>
                </c:pt>
                <c:pt idx="6">
                  <c:v>17.995021797559286</c:v>
                </c:pt>
                <c:pt idx="7">
                  <c:v>398.88828744100653</c:v>
                </c:pt>
                <c:pt idx="8">
                  <c:v>226.64220589201719</c:v>
                </c:pt>
                <c:pt idx="9">
                  <c:v>0</c:v>
                </c:pt>
                <c:pt idx="10">
                  <c:v>1.2274092196434003E-2</c:v>
                </c:pt>
                <c:pt idx="11">
                  <c:v>9.4083502947025291E-3</c:v>
                </c:pt>
                <c:pt idx="12">
                  <c:v>6.6647103439697863</c:v>
                </c:pt>
                <c:pt idx="13">
                  <c:v>4794.9789093238678</c:v>
                </c:pt>
                <c:pt idx="14">
                  <c:v>4.7232847868795762</c:v>
                </c:pt>
                <c:pt idx="15">
                  <c:v>0.35711230376254122</c:v>
                </c:pt>
                <c:pt idx="16">
                  <c:v>7.7842294699516286</c:v>
                </c:pt>
                <c:pt idx="17">
                  <c:v>7.7842294699516286</c:v>
                </c:pt>
                <c:pt idx="18">
                  <c:v>0</c:v>
                </c:pt>
                <c:pt idx="19">
                  <c:v>0</c:v>
                </c:pt>
                <c:pt idx="20">
                  <c:v>97.2661763652697</c:v>
                </c:pt>
                <c:pt idx="21">
                  <c:v>2.7492787518523478</c:v>
                </c:pt>
              </c:numCache>
            </c:numRef>
          </c:val>
        </c:ser>
        <c:dLbls>
          <c:showLegendKey val="0"/>
          <c:showVal val="1"/>
          <c:showCatName val="0"/>
          <c:showSerName val="0"/>
          <c:showPercent val="0"/>
          <c:showBubbleSize val="0"/>
        </c:dLbls>
        <c:gapWidth val="150"/>
        <c:overlap val="-25"/>
        <c:axId val="371355952"/>
        <c:axId val="371351640"/>
      </c:barChart>
      <c:catAx>
        <c:axId val="371355952"/>
        <c:scaling>
          <c:orientation val="minMax"/>
        </c:scaling>
        <c:delete val="0"/>
        <c:axPos val="l"/>
        <c:numFmt formatCode="General" sourceLinked="0"/>
        <c:majorTickMark val="none"/>
        <c:minorTickMark val="none"/>
        <c:tickLblPos val="nextTo"/>
        <c:txPr>
          <a:bodyPr/>
          <a:lstStyle/>
          <a:p>
            <a:pPr>
              <a:defRPr lang="es-ES"/>
            </a:pPr>
            <a:endParaRPr lang="es-EC"/>
          </a:p>
        </c:txPr>
        <c:crossAx val="371351640"/>
        <c:crosses val="autoZero"/>
        <c:auto val="1"/>
        <c:lblAlgn val="ctr"/>
        <c:lblOffset val="100"/>
        <c:noMultiLvlLbl val="0"/>
      </c:catAx>
      <c:valAx>
        <c:axId val="371351640"/>
        <c:scaling>
          <c:orientation val="minMax"/>
        </c:scaling>
        <c:delete val="1"/>
        <c:axPos val="b"/>
        <c:numFmt formatCode="0.00" sourceLinked="1"/>
        <c:majorTickMark val="out"/>
        <c:minorTickMark val="none"/>
        <c:tickLblPos val="none"/>
        <c:crossAx val="371355952"/>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5"/>
    </mc:Choice>
    <mc:Fallback>
      <c:style val="45"/>
    </mc:Fallback>
  </mc:AlternateContent>
  <c:chart>
    <c:title>
      <c:tx>
        <c:rich>
          <a:bodyPr/>
          <a:lstStyle/>
          <a:p>
            <a:pPr>
              <a:defRPr lang="es-ES"/>
            </a:pPr>
            <a:r>
              <a:rPr lang="en-US"/>
              <a:t>PORCENTAJE TOTAL DE CONCENTRACIÓN 2010 QUITO</a:t>
            </a:r>
          </a:p>
        </c:rich>
      </c:tx>
      <c:layout>
        <c:manualLayout>
          <c:xMode val="edge"/>
          <c:yMode val="edge"/>
          <c:x val="0.24122775736434901"/>
          <c:y val="2.9112671969988298E-2"/>
        </c:manualLayout>
      </c:layout>
      <c:overlay val="0"/>
    </c:title>
    <c:autoTitleDeleted val="0"/>
    <c:plotArea>
      <c:layout/>
      <c:doughnutChart>
        <c:varyColors val="1"/>
        <c:ser>
          <c:idx val="0"/>
          <c:order val="0"/>
          <c:explosion val="23"/>
          <c:dLbls>
            <c:dLbl>
              <c:idx val="1"/>
              <c:spPr/>
              <c:txPr>
                <a:bodyPr/>
                <a:lstStyle/>
                <a:p>
                  <a:pPr>
                    <a:defRPr lang="es-ES" sz="1100" b="1">
                      <a:solidFill>
                        <a:sysClr val="windowText" lastClr="000000"/>
                      </a:solidFill>
                    </a:defRPr>
                  </a:pPr>
                  <a:endParaRPr lang="es-EC"/>
                </a:p>
              </c:txPr>
              <c:showLegendKey val="0"/>
              <c:showVal val="0"/>
              <c:showCatName val="0"/>
              <c:showSerName val="0"/>
              <c:showPercent val="1"/>
              <c:showBubbleSize val="0"/>
            </c:dLbl>
            <c:spPr>
              <a:noFill/>
              <a:ln>
                <a:noFill/>
              </a:ln>
              <a:effectLst/>
            </c:spPr>
            <c:txPr>
              <a:bodyPr/>
              <a:lstStyle/>
              <a:p>
                <a:pPr>
                  <a:defRPr lang="es-ES" sz="11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laboratorios!$K$285:$K$286</c:f>
              <c:numCache>
                <c:formatCode>0%</c:formatCode>
                <c:ptCount val="2"/>
                <c:pt idx="0">
                  <c:v>0.88981184432773996</c:v>
                </c:pt>
                <c:pt idx="1">
                  <c:v>0.110164210640068</c:v>
                </c:pt>
              </c:numCache>
            </c:numRef>
          </c:val>
        </c:ser>
        <c:dLbls>
          <c:showLegendKey val="0"/>
          <c:showVal val="0"/>
          <c:showCatName val="0"/>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CONCENTRACIÓN RENTABILIDAD 2009 GUAYAQUIL</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laboratorios!$B$357:$B$370</c:f>
              <c:strCache>
                <c:ptCount val="14"/>
                <c:pt idx="0">
                  <c:v>LAB.FIF.MASTER PLANT</c:v>
                </c:pt>
                <c:pt idx="1">
                  <c:v>LABORATORIOS LIFE</c:v>
                </c:pt>
                <c:pt idx="2">
                  <c:v>LUBORATORIOS LUPERA </c:v>
                </c:pt>
                <c:pt idx="3">
                  <c:v>FROSHER CIA </c:v>
                </c:pt>
                <c:pt idx="4">
                  <c:v>LABORATORIOS CHEFAR</c:v>
                </c:pt>
                <c:pt idx="5">
                  <c:v>ACROMAX LABORATORIO</c:v>
                </c:pt>
                <c:pt idx="6">
                  <c:v>LABORATORIO  WEIR S.</c:v>
                </c:pt>
                <c:pt idx="7">
                  <c:v>LABORATORIOS TOFIS</c:v>
                </c:pt>
                <c:pt idx="8">
                  <c:v>BIONATUS LABORATORIOS</c:v>
                </c:pt>
                <c:pt idx="9">
                  <c:v>LABORATORIOS LIFARLIT </c:v>
                </c:pt>
                <c:pt idx="10">
                  <c:v>NETLAB S.A.</c:v>
                </c:pt>
                <c:pt idx="11">
                  <c:v>QUALIPHARM LABORATORIO </c:v>
                </c:pt>
                <c:pt idx="12">
                  <c:v>  INDUNIDAS</c:v>
                </c:pt>
                <c:pt idx="13">
                  <c:v>KRONOS LABORATORIOS</c:v>
                </c:pt>
              </c:strCache>
            </c:strRef>
          </c:cat>
          <c:val>
            <c:numRef>
              <c:f>laboratorios!$E$357:$E$370</c:f>
              <c:numCache>
                <c:formatCode>0.00</c:formatCode>
                <c:ptCount val="14"/>
                <c:pt idx="0">
                  <c:v>2.8154495512228062</c:v>
                </c:pt>
                <c:pt idx="1">
                  <c:v>0.32897532784972522</c:v>
                </c:pt>
                <c:pt idx="2">
                  <c:v>0.39663430839556013</c:v>
                </c:pt>
                <c:pt idx="3">
                  <c:v>0.25659518475097193</c:v>
                </c:pt>
                <c:pt idx="4">
                  <c:v>4.7632108003328897</c:v>
                </c:pt>
                <c:pt idx="5">
                  <c:v>3.9050844261106628</c:v>
                </c:pt>
                <c:pt idx="6">
                  <c:v>8.1684138141782867</c:v>
                </c:pt>
                <c:pt idx="7">
                  <c:v>-12.181494833686926</c:v>
                </c:pt>
                <c:pt idx="8">
                  <c:v>0.76232769114016119</c:v>
                </c:pt>
                <c:pt idx="9">
                  <c:v>0.36311090682815611</c:v>
                </c:pt>
                <c:pt idx="10">
                  <c:v>32.971842309834379</c:v>
                </c:pt>
                <c:pt idx="11">
                  <c:v>53.062603197728379</c:v>
                </c:pt>
                <c:pt idx="12">
                  <c:v>-3.1985671712293771</c:v>
                </c:pt>
                <c:pt idx="13">
                  <c:v>7.5858144865442219</c:v>
                </c:pt>
              </c:numCache>
            </c:numRef>
          </c:val>
        </c:ser>
        <c:dLbls>
          <c:showLegendKey val="0"/>
          <c:showVal val="0"/>
          <c:showCatName val="0"/>
          <c:showSerName val="0"/>
          <c:showPercent val="0"/>
          <c:showBubbleSize val="0"/>
        </c:dLbls>
        <c:gapWidth val="150"/>
        <c:shape val="box"/>
        <c:axId val="371354384"/>
        <c:axId val="371353600"/>
        <c:axId val="0"/>
      </c:bar3DChart>
      <c:catAx>
        <c:axId val="371354384"/>
        <c:scaling>
          <c:orientation val="minMax"/>
        </c:scaling>
        <c:delete val="0"/>
        <c:axPos val="b"/>
        <c:numFmt formatCode="General" sourceLinked="0"/>
        <c:majorTickMark val="none"/>
        <c:minorTickMark val="none"/>
        <c:tickLblPos val="nextTo"/>
        <c:txPr>
          <a:bodyPr/>
          <a:lstStyle/>
          <a:p>
            <a:pPr>
              <a:defRPr lang="es-ES"/>
            </a:pPr>
            <a:endParaRPr lang="es-EC"/>
          </a:p>
        </c:txPr>
        <c:crossAx val="371353600"/>
        <c:crosses val="autoZero"/>
        <c:auto val="1"/>
        <c:lblAlgn val="ctr"/>
        <c:lblOffset val="100"/>
        <c:noMultiLvlLbl val="0"/>
      </c:catAx>
      <c:valAx>
        <c:axId val="371353600"/>
        <c:scaling>
          <c:orientation val="minMax"/>
        </c:scaling>
        <c:delete val="0"/>
        <c:axPos val="l"/>
        <c:majorGridlines/>
        <c:numFmt formatCode="0.00" sourceLinked="1"/>
        <c:majorTickMark val="none"/>
        <c:minorTickMark val="none"/>
        <c:tickLblPos val="nextTo"/>
        <c:txPr>
          <a:bodyPr/>
          <a:lstStyle/>
          <a:p>
            <a:pPr>
              <a:defRPr lang="es-ES"/>
            </a:pPr>
            <a:endParaRPr lang="es-EC"/>
          </a:p>
        </c:txPr>
        <c:crossAx val="371354384"/>
        <c:crosses val="autoZero"/>
        <c:crossBetween val="between"/>
      </c:valAx>
      <c:dTable>
        <c:showHorzBorder val="1"/>
        <c:showVertBorder val="1"/>
        <c:showOutline val="1"/>
        <c:showKeys val="1"/>
        <c:txPr>
          <a:bodyPr/>
          <a:lstStyle/>
          <a:p>
            <a:pPr rtl="0">
              <a:defRPr lang="es-ES"/>
            </a:pPr>
            <a:endParaRPr lang="es-EC"/>
          </a:p>
        </c:txPr>
      </c:dTable>
    </c:plotArea>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RENTABILIDAD GUAYAQUIL 2009</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6.1099796334012309E-2"/>
                  <c:y val="-3.1877590054192012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4310930074677723E-2"/>
                  <c:y val="-6.3755180108383807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4310930074677626E-2"/>
                  <c:y val="0"/>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6.1099796334012309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109979633401230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1099796334012309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5.4310930074677626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4677528852681724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2047974654899409E-2"/>
                  <c:y val="5.8441573310643901E-17"/>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5.2047974654899298E-2"/>
                  <c:y val="6.3755180108383807E-3"/>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17424756732292407"/>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0.33265444670740113"/>
                  <c:y val="-3.1877590054192012E-3"/>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6.3362751753790622E-2"/>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8836840914234009E-2"/>
                  <c:y val="-6.3755180108383807E-3"/>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laboratorios!$B$357:$B$370</c:f>
              <c:strCache>
                <c:ptCount val="14"/>
                <c:pt idx="0">
                  <c:v>LAB.FIF.MASTER PLANT</c:v>
                </c:pt>
                <c:pt idx="1">
                  <c:v>LABORATORIOS LIFE</c:v>
                </c:pt>
                <c:pt idx="2">
                  <c:v>LUBORATORIOS LUPERA </c:v>
                </c:pt>
                <c:pt idx="3">
                  <c:v>FROSHER CIA </c:v>
                </c:pt>
                <c:pt idx="4">
                  <c:v>LABORATORIOS CHEFAR</c:v>
                </c:pt>
                <c:pt idx="5">
                  <c:v>ACROMAX LABORATORIO</c:v>
                </c:pt>
                <c:pt idx="6">
                  <c:v>LABORATORIO  WEIR S.</c:v>
                </c:pt>
                <c:pt idx="7">
                  <c:v>LABORATORIOS TOFIS</c:v>
                </c:pt>
                <c:pt idx="8">
                  <c:v>BIONATUS LABORATORIOS</c:v>
                </c:pt>
                <c:pt idx="9">
                  <c:v>LABORATORIOS LIFARLIT </c:v>
                </c:pt>
                <c:pt idx="10">
                  <c:v>NETLAB S.A.</c:v>
                </c:pt>
                <c:pt idx="11">
                  <c:v>QUALIPHARM LABORATORIO </c:v>
                </c:pt>
                <c:pt idx="12">
                  <c:v>  INDUNIDAS</c:v>
                </c:pt>
                <c:pt idx="13">
                  <c:v>KRONOS LABORATORIOS</c:v>
                </c:pt>
              </c:strCache>
            </c:strRef>
          </c:cat>
          <c:val>
            <c:numRef>
              <c:f>laboratorios!$F$357:$F$370</c:f>
              <c:numCache>
                <c:formatCode>0.00</c:formatCode>
                <c:ptCount val="14"/>
                <c:pt idx="0">
                  <c:v>7.9267561754807314</c:v>
                </c:pt>
                <c:pt idx="1">
                  <c:v>0.10822476633383406</c:v>
                </c:pt>
                <c:pt idx="2">
                  <c:v>0.15731877459642515</c:v>
                </c:pt>
                <c:pt idx="3">
                  <c:v>6.5841088837385583E-2</c:v>
                </c:pt>
                <c:pt idx="4">
                  <c:v>22.688177128407901</c:v>
                </c:pt>
                <c:pt idx="5">
                  <c:v>15.24968437505207</c:v>
                </c:pt>
                <c:pt idx="6">
                  <c:v>66.722984239658501</c:v>
                </c:pt>
                <c:pt idx="7">
                  <c:v>148.38881638314106</c:v>
                </c:pt>
                <c:pt idx="8">
                  <c:v>0.58114350867908904</c:v>
                </c:pt>
                <c:pt idx="9">
                  <c:v>0.13184953065756605</c:v>
                </c:pt>
                <c:pt idx="10">
                  <c:v>1087.1423853045878</c:v>
                </c:pt>
                <c:pt idx="11">
                  <c:v>2815.639858119574</c:v>
                </c:pt>
                <c:pt idx="12">
                  <c:v>10.230831948866269</c:v>
                </c:pt>
                <c:pt idx="13">
                  <c:v>57.544581424264024</c:v>
                </c:pt>
              </c:numCache>
            </c:numRef>
          </c:val>
        </c:ser>
        <c:dLbls>
          <c:showLegendKey val="0"/>
          <c:showVal val="0"/>
          <c:showCatName val="0"/>
          <c:showSerName val="0"/>
          <c:showPercent val="0"/>
          <c:showBubbleSize val="0"/>
        </c:dLbls>
        <c:gapWidth val="75"/>
        <c:shape val="box"/>
        <c:axId val="371361440"/>
        <c:axId val="371352032"/>
        <c:axId val="0"/>
      </c:bar3DChart>
      <c:catAx>
        <c:axId val="371361440"/>
        <c:scaling>
          <c:orientation val="minMax"/>
        </c:scaling>
        <c:delete val="0"/>
        <c:axPos val="l"/>
        <c:numFmt formatCode="General" sourceLinked="0"/>
        <c:majorTickMark val="none"/>
        <c:minorTickMark val="none"/>
        <c:tickLblPos val="nextTo"/>
        <c:txPr>
          <a:bodyPr/>
          <a:lstStyle/>
          <a:p>
            <a:pPr>
              <a:defRPr lang="es-ES"/>
            </a:pPr>
            <a:endParaRPr lang="es-EC"/>
          </a:p>
        </c:txPr>
        <c:crossAx val="371352032"/>
        <c:crosses val="autoZero"/>
        <c:auto val="1"/>
        <c:lblAlgn val="ctr"/>
        <c:lblOffset val="100"/>
        <c:noMultiLvlLbl val="0"/>
      </c:catAx>
      <c:valAx>
        <c:axId val="371352032"/>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61440"/>
        <c:crosses val="autoZero"/>
        <c:crossBetween val="between"/>
      </c:valAx>
    </c:plotArea>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CONCENTRACIÓN RENTABILIDAD 2009 GUAYAQUIL</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s-ES" sz="14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laboratorios!$I$373:$I$374</c:f>
              <c:numCache>
                <c:formatCode>0%</c:formatCode>
                <c:ptCount val="2"/>
                <c:pt idx="0">
                  <c:v>0.98273383416500004</c:v>
                </c:pt>
                <c:pt idx="1">
                  <c:v>1.7281595079628211E-2</c:v>
                </c:pt>
              </c:numCache>
            </c:numRef>
          </c:val>
        </c:ser>
        <c:dLbls>
          <c:showLegendKey val="0"/>
          <c:showVal val="0"/>
          <c:showCatName val="0"/>
          <c:showSerName val="0"/>
          <c:showPercent val="1"/>
          <c:showBubbleSize val="0"/>
          <c:showLeaderLines val="1"/>
        </c:dLbls>
      </c:pie3DChart>
    </c:plotArea>
    <c:legend>
      <c:legendPos val="r"/>
      <c:overlay val="0"/>
      <c:txPr>
        <a:bodyPr/>
        <a:lstStyle/>
        <a:p>
          <a:pPr rtl="0">
            <a:defRPr lang="es-ES"/>
          </a:pPr>
          <a:endParaRPr lang="es-EC"/>
        </a:p>
      </c:txPr>
    </c:legend>
    <c:plotVisOnly val="1"/>
    <c:dispBlanksAs val="zero"/>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6"/>
    </mc:Choice>
    <mc:Fallback>
      <c:style val="46"/>
    </mc:Fallback>
  </mc:AlternateContent>
  <c:chart>
    <c:title>
      <c:tx>
        <c:rich>
          <a:bodyPr/>
          <a:lstStyle/>
          <a:p>
            <a:pPr>
              <a:defRPr lang="es-ES"/>
            </a:pPr>
            <a:r>
              <a:rPr lang="en-US"/>
              <a:t>PORCENTAJE DE CONCENTRACIÓN RENTABILIDAD 2010</a:t>
            </a:r>
          </a:p>
          <a:p>
            <a:pPr>
              <a:defRPr lang="es-ES"/>
            </a:pPr>
            <a:r>
              <a:rPr lang="en-US"/>
              <a:t> GUAYAQUIL</a:t>
            </a:r>
            <a:endParaRPr lang="es-EC"/>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laboratorios!$B$357:$B$370</c:f>
              <c:strCache>
                <c:ptCount val="14"/>
                <c:pt idx="0">
                  <c:v>LAB.FIF.MASTER PLANT</c:v>
                </c:pt>
                <c:pt idx="1">
                  <c:v>LABORATORIOS LIFE</c:v>
                </c:pt>
                <c:pt idx="2">
                  <c:v>LUBORATORIOS LUPERA </c:v>
                </c:pt>
                <c:pt idx="3">
                  <c:v>FROSHER CIA </c:v>
                </c:pt>
                <c:pt idx="4">
                  <c:v>LABORATORIOS CHEFAR</c:v>
                </c:pt>
                <c:pt idx="5">
                  <c:v>ACROMAX LABORATORIO</c:v>
                </c:pt>
                <c:pt idx="6">
                  <c:v>LABORATORIO  WEIR S.</c:v>
                </c:pt>
                <c:pt idx="7">
                  <c:v>LABORATORIOS TOFIS</c:v>
                </c:pt>
                <c:pt idx="8">
                  <c:v>BIONATUS LABORATORIOS</c:v>
                </c:pt>
                <c:pt idx="9">
                  <c:v>LABORATORIOS LIFARLIT </c:v>
                </c:pt>
                <c:pt idx="10">
                  <c:v>NETLAB S.A.</c:v>
                </c:pt>
                <c:pt idx="11">
                  <c:v>QUALIPHARM LABORATORIO </c:v>
                </c:pt>
                <c:pt idx="12">
                  <c:v>  INDUNIDAS</c:v>
                </c:pt>
                <c:pt idx="13">
                  <c:v>KRONOS LABORATORIOS</c:v>
                </c:pt>
              </c:strCache>
            </c:strRef>
          </c:cat>
          <c:val>
            <c:numRef>
              <c:f>laboratorios!$M$357:$M$370</c:f>
              <c:numCache>
                <c:formatCode>0.00</c:formatCode>
                <c:ptCount val="14"/>
                <c:pt idx="0">
                  <c:v>0.5799989716938756</c:v>
                </c:pt>
                <c:pt idx="1">
                  <c:v>0.10569111209531903</c:v>
                </c:pt>
                <c:pt idx="2">
                  <c:v>8.529828274891664E-2</c:v>
                </c:pt>
                <c:pt idx="3">
                  <c:v>-0.11442242274711104</c:v>
                </c:pt>
                <c:pt idx="4">
                  <c:v>0.99233556054714578</c:v>
                </c:pt>
                <c:pt idx="5">
                  <c:v>20.762529329203268</c:v>
                </c:pt>
                <c:pt idx="6">
                  <c:v>0.57744583226324542</c:v>
                </c:pt>
                <c:pt idx="7">
                  <c:v>27.240716981758268</c:v>
                </c:pt>
                <c:pt idx="8">
                  <c:v>0.21073497352007806</c:v>
                </c:pt>
                <c:pt idx="9">
                  <c:v>0.24115514355724407</c:v>
                </c:pt>
                <c:pt idx="10">
                  <c:v>8.6045439938899548</c:v>
                </c:pt>
                <c:pt idx="11">
                  <c:v>11.350116215875817</c:v>
                </c:pt>
                <c:pt idx="12">
                  <c:v>15.972248823900372</c:v>
                </c:pt>
                <c:pt idx="13">
                  <c:v>13.3916072016935</c:v>
                </c:pt>
              </c:numCache>
            </c:numRef>
          </c:val>
        </c:ser>
        <c:dLbls>
          <c:showLegendKey val="0"/>
          <c:showVal val="0"/>
          <c:showCatName val="0"/>
          <c:showSerName val="0"/>
          <c:showPercent val="0"/>
          <c:showBubbleSize val="0"/>
        </c:dLbls>
        <c:gapWidth val="0"/>
        <c:gapDepth val="0"/>
        <c:shape val="box"/>
        <c:axId val="371357520"/>
        <c:axId val="371357912"/>
        <c:axId val="0"/>
      </c:bar3DChart>
      <c:catAx>
        <c:axId val="371357520"/>
        <c:scaling>
          <c:orientation val="minMax"/>
        </c:scaling>
        <c:delete val="0"/>
        <c:axPos val="b"/>
        <c:numFmt formatCode="General" sourceLinked="0"/>
        <c:majorTickMark val="none"/>
        <c:minorTickMark val="none"/>
        <c:tickLblPos val="nextTo"/>
        <c:txPr>
          <a:bodyPr/>
          <a:lstStyle/>
          <a:p>
            <a:pPr>
              <a:defRPr lang="es-ES" b="1">
                <a:latin typeface="+mj-lt"/>
              </a:defRPr>
            </a:pPr>
            <a:endParaRPr lang="es-EC"/>
          </a:p>
        </c:txPr>
        <c:crossAx val="371357912"/>
        <c:crosses val="autoZero"/>
        <c:auto val="1"/>
        <c:lblAlgn val="ctr"/>
        <c:lblOffset val="100"/>
        <c:noMultiLvlLbl val="0"/>
      </c:catAx>
      <c:valAx>
        <c:axId val="371357912"/>
        <c:scaling>
          <c:orientation val="minMax"/>
        </c:scaling>
        <c:delete val="0"/>
        <c:axPos val="l"/>
        <c:numFmt formatCode="0.00" sourceLinked="1"/>
        <c:majorTickMark val="out"/>
        <c:minorTickMark val="none"/>
        <c:tickLblPos val="nextTo"/>
        <c:txPr>
          <a:bodyPr/>
          <a:lstStyle/>
          <a:p>
            <a:pPr>
              <a:defRPr lang="es-ES"/>
            </a:pPr>
            <a:endParaRPr lang="es-EC"/>
          </a:p>
        </c:txPr>
        <c:crossAx val="371357520"/>
        <c:crosses val="autoZero"/>
        <c:crossBetween val="between"/>
      </c:valAx>
    </c:plotArea>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sz="1800" b="1" i="0" baseline="0"/>
              <a:t>CONCENTRACIÓN RENTABILIDAD GUAYAQUIL 2010</a:t>
            </a:r>
            <a:endParaRPr lang="es-EC"/>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laboratorios!$B$357:$B$370</c:f>
              <c:strCache>
                <c:ptCount val="14"/>
                <c:pt idx="0">
                  <c:v>LAB.FIF.MASTER PLANT</c:v>
                </c:pt>
                <c:pt idx="1">
                  <c:v>LABORATORIOS LIFE</c:v>
                </c:pt>
                <c:pt idx="2">
                  <c:v>LUBORATORIOS LUPERA </c:v>
                </c:pt>
                <c:pt idx="3">
                  <c:v>FROSHER CIA </c:v>
                </c:pt>
                <c:pt idx="4">
                  <c:v>LABORATORIOS CHEFAR</c:v>
                </c:pt>
                <c:pt idx="5">
                  <c:v>ACROMAX LABORATORIO</c:v>
                </c:pt>
                <c:pt idx="6">
                  <c:v>LABORATORIO  WEIR S.</c:v>
                </c:pt>
                <c:pt idx="7">
                  <c:v>LABORATORIOS TOFIS</c:v>
                </c:pt>
                <c:pt idx="8">
                  <c:v>BIONATUS LABORATORIOS</c:v>
                </c:pt>
                <c:pt idx="9">
                  <c:v>LABORATORIOS LIFARLIT </c:v>
                </c:pt>
                <c:pt idx="10">
                  <c:v>NETLAB S.A.</c:v>
                </c:pt>
                <c:pt idx="11">
                  <c:v>QUALIPHARM LABORATORIO </c:v>
                </c:pt>
                <c:pt idx="12">
                  <c:v>  INDUNIDAS</c:v>
                </c:pt>
                <c:pt idx="13">
                  <c:v>KRONOS LABORATORIOS</c:v>
                </c:pt>
              </c:strCache>
            </c:strRef>
          </c:cat>
          <c:val>
            <c:numRef>
              <c:f>laboratorios!$H$357:$H$370</c:f>
              <c:numCache>
                <c:formatCode>0.00</c:formatCode>
                <c:ptCount val="14"/>
                <c:pt idx="0">
                  <c:v>0.33639880716595233</c:v>
                </c:pt>
                <c:pt idx="1">
                  <c:v>1.1170611175945202E-2</c:v>
                </c:pt>
                <c:pt idx="2">
                  <c:v>7.2757970399141428E-3</c:v>
                </c:pt>
                <c:pt idx="3">
                  <c:v>1.3092490827318603E-2</c:v>
                </c:pt>
                <c:pt idx="4">
                  <c:v>0.98472986472641899</c:v>
                </c:pt>
                <c:pt idx="5">
                  <c:v>431.08262414602927</c:v>
                </c:pt>
                <c:pt idx="6">
                  <c:v>0.33344368919819012</c:v>
                </c:pt>
                <c:pt idx="7">
                  <c:v>742.05666168025641</c:v>
                </c:pt>
                <c:pt idx="8">
                  <c:v>4.4409229064507921E-2</c:v>
                </c:pt>
                <c:pt idx="9">
                  <c:v>5.8155803264114798E-2</c:v>
                </c:pt>
                <c:pt idx="10">
                  <c:v>74.038177342787208</c:v>
                </c:pt>
                <c:pt idx="11">
                  <c:v>128.82513811388665</c:v>
                </c:pt>
                <c:pt idx="12">
                  <c:v>255.11273249258639</c:v>
                </c:pt>
                <c:pt idx="13">
                  <c:v>179.33514344444924</c:v>
                </c:pt>
              </c:numCache>
            </c:numRef>
          </c:val>
        </c:ser>
        <c:dLbls>
          <c:showLegendKey val="0"/>
          <c:showVal val="0"/>
          <c:showCatName val="0"/>
          <c:showSerName val="0"/>
          <c:showPercent val="0"/>
          <c:showBubbleSize val="0"/>
        </c:dLbls>
        <c:gapWidth val="150"/>
        <c:shape val="box"/>
        <c:axId val="371363400"/>
        <c:axId val="371352816"/>
        <c:axId val="0"/>
      </c:bar3DChart>
      <c:catAx>
        <c:axId val="371363400"/>
        <c:scaling>
          <c:orientation val="minMax"/>
        </c:scaling>
        <c:delete val="0"/>
        <c:axPos val="l"/>
        <c:numFmt formatCode="General" sourceLinked="0"/>
        <c:majorTickMark val="none"/>
        <c:minorTickMark val="none"/>
        <c:tickLblPos val="nextTo"/>
        <c:txPr>
          <a:bodyPr/>
          <a:lstStyle/>
          <a:p>
            <a:pPr>
              <a:defRPr lang="es-ES"/>
            </a:pPr>
            <a:endParaRPr lang="es-EC"/>
          </a:p>
        </c:txPr>
        <c:crossAx val="371352816"/>
        <c:crosses val="autoZero"/>
        <c:auto val="1"/>
        <c:lblAlgn val="ctr"/>
        <c:lblOffset val="100"/>
        <c:noMultiLvlLbl val="0"/>
      </c:catAx>
      <c:valAx>
        <c:axId val="371352816"/>
        <c:scaling>
          <c:orientation val="minMax"/>
        </c:scaling>
        <c:delete val="0"/>
        <c:axPos val="b"/>
        <c:majorGridlines/>
        <c:numFmt formatCode="0.00" sourceLinked="1"/>
        <c:majorTickMark val="out"/>
        <c:minorTickMark val="none"/>
        <c:tickLblPos val="nextTo"/>
        <c:txPr>
          <a:bodyPr/>
          <a:lstStyle/>
          <a:p>
            <a:pPr>
              <a:defRPr lang="es-ES"/>
            </a:pPr>
            <a:endParaRPr lang="es-EC"/>
          </a:p>
        </c:txPr>
        <c:crossAx val="371363400"/>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2"/>
    </mc:Choice>
    <mc:Fallback>
      <c:style val="22"/>
    </mc:Fallback>
  </mc:AlternateContent>
  <c:chart>
    <c:title>
      <c:tx>
        <c:rich>
          <a:bodyPr/>
          <a:lstStyle/>
          <a:p>
            <a:pPr>
              <a:defRPr lang="es-ES"/>
            </a:pPr>
            <a:r>
              <a:rPr lang="es-EC"/>
              <a:t>PORCENTAJE DE ACTIVO AÑO 2010</a:t>
            </a:r>
          </a:p>
        </c:rich>
      </c:tx>
      <c:overlay val="0"/>
    </c:title>
    <c:autoTitleDeleted val="0"/>
    <c:plotArea>
      <c:layout>
        <c:manualLayout>
          <c:layoutTarget val="inner"/>
          <c:xMode val="edge"/>
          <c:yMode val="edge"/>
          <c:x val="0.30403796969468422"/>
          <c:y val="0.12285276397188004"/>
          <c:w val="0.60080870082932902"/>
          <c:h val="0.75332760396101017"/>
        </c:manualLayout>
      </c:layout>
      <c:barChart>
        <c:barDir val="bar"/>
        <c:grouping val="clustered"/>
        <c:varyColors val="0"/>
        <c:ser>
          <c:idx val="0"/>
          <c:order val="0"/>
          <c:invertIfNegative val="0"/>
          <c:dLbls>
            <c:dLbl>
              <c:idx val="0"/>
              <c:layout>
                <c:manualLayout>
                  <c:x val="2.2886132843618307E-2"/>
                  <c:y val="1.1557523434231122E-16"/>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
              <c:layout>
                <c:manualLayout>
                  <c:x val="2.3273712191727011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2"/>
              <c:layout>
                <c:manualLayout>
                  <c:x val="2.2295623590182296E-2"/>
                  <c:y val="3.15208825847124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3"/>
              <c:layout>
                <c:manualLayout>
                  <c:x val="2.2643455510553415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4"/>
              <c:layout>
                <c:manualLayout>
                  <c:x val="2.5060837043931805E-2"/>
                  <c:y val="3.1520882584712404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5"/>
              <c:layout>
                <c:manualLayout>
                  <c:x val="3.1198879692754006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6"/>
              <c:layout>
                <c:manualLayout>
                  <c:x val="3.1010372904665018E-2"/>
                  <c:y val="9.4562647754137443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7"/>
              <c:layout>
                <c:manualLayout>
                  <c:x val="3.1106638826696207E-2"/>
                  <c:y val="1.26083530338849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8"/>
              <c:layout>
                <c:manualLayout>
                  <c:x val="2.7401407092484117E-2"/>
                  <c:y val="1.2608353033884901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9.0907566266677543E-3"/>
                  <c:y val="4.1471057252595216E-3"/>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0"/>
              <c:layout>
                <c:manualLayout>
                  <c:x val="1.80691471074103E-2"/>
                  <c:y val="0"/>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1"/>
              <c:layout>
                <c:manualLayout>
                  <c:x val="2.1981836934920015E-3"/>
                  <c:y val="-2.8893808585577861E-17"/>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12"/>
              <c:layout>
                <c:manualLayout>
                  <c:x val="2.6090748241134401E-3"/>
                  <c:y val="-7.8662733529990449E-3"/>
                </c:manualLayout>
              </c:layout>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Hoja1!$B$58:$B$71</c:f>
              <c:strCache>
                <c:ptCount val="14"/>
                <c:pt idx="0">
                  <c:v>CLINICA  MARÍA AUXILIADORA</c:v>
                </c:pt>
                <c:pt idx="1">
                  <c:v>CENTRO CEFAVIS  SANA S.A.</c:v>
                </c:pt>
                <c:pt idx="2">
                  <c:v>CLINICA  GALENOSS.A</c:v>
                </c:pt>
                <c:pt idx="3">
                  <c:v>CLINICA MODERNA CIA.LTDA</c:v>
                </c:pt>
                <c:pt idx="4">
                  <c:v>CLINICA  OLIMPUS SASEBIS.A</c:v>
                </c:pt>
                <c:pt idx="5">
                  <c:v>CLINICA SAN GABRIEL  </c:v>
                </c:pt>
                <c:pt idx="6">
                  <c:v>CLINICA CLIGEVISA CIA.LTDA</c:v>
                </c:pt>
                <c:pt idx="7">
                  <c:v>CLINICA CONOCOTO  </c:v>
                </c:pt>
                <c:pt idx="8">
                  <c:v>CLINICA  CEMEDSSO CIA LTDA.</c:v>
                </c:pt>
                <c:pt idx="9">
                  <c:v>HOSPITAL INGLES CIA. LTDA.</c:v>
                </c:pt>
                <c:pt idx="10">
                  <c:v>CENTRO CENTROMAMARIA </c:v>
                </c:pt>
                <c:pt idx="11">
                  <c:v>NOVACLINICA</c:v>
                </c:pt>
                <c:pt idx="12">
                  <c:v>TECOCEL S.A.  </c:v>
                </c:pt>
                <c:pt idx="13">
                  <c:v>CLINICA INGLATERRA</c:v>
                </c:pt>
              </c:strCache>
            </c:strRef>
          </c:cat>
          <c:val>
            <c:numRef>
              <c:f>Hoja1!$E$58:$E$71</c:f>
              <c:numCache>
                <c:formatCode>#,##0.00</c:formatCode>
                <c:ptCount val="14"/>
                <c:pt idx="0">
                  <c:v>0.49198133292971713</c:v>
                </c:pt>
                <c:pt idx="1">
                  <c:v>2.8603323795871605E-2</c:v>
                </c:pt>
                <c:pt idx="2">
                  <c:v>0.60067639050004418</c:v>
                </c:pt>
                <c:pt idx="3">
                  <c:v>0.53664944287422822</c:v>
                </c:pt>
                <c:pt idx="4">
                  <c:v>9.1707679675597925E-2</c:v>
                </c:pt>
                <c:pt idx="5">
                  <c:v>0.4770618637065791</c:v>
                </c:pt>
                <c:pt idx="6">
                  <c:v>0.15546183976884206</c:v>
                </c:pt>
                <c:pt idx="7">
                  <c:v>0.13952731045632411</c:v>
                </c:pt>
                <c:pt idx="8">
                  <c:v>0.23950182972494</c:v>
                </c:pt>
                <c:pt idx="9">
                  <c:v>5.1423128235933966</c:v>
                </c:pt>
                <c:pt idx="10">
                  <c:v>0.18224393580636816</c:v>
                </c:pt>
                <c:pt idx="11">
                  <c:v>11.984941870884983</c:v>
                </c:pt>
                <c:pt idx="12">
                  <c:v>79.925364044503084</c:v>
                </c:pt>
                <c:pt idx="13">
                  <c:v>0</c:v>
                </c:pt>
              </c:numCache>
            </c:numRef>
          </c:val>
        </c:ser>
        <c:dLbls>
          <c:showLegendKey val="0"/>
          <c:showVal val="0"/>
          <c:showCatName val="0"/>
          <c:showSerName val="0"/>
          <c:showPercent val="0"/>
          <c:showBubbleSize val="0"/>
        </c:dLbls>
        <c:gapWidth val="75"/>
        <c:overlap val="40"/>
        <c:axId val="360082440"/>
        <c:axId val="325766256"/>
      </c:barChart>
      <c:catAx>
        <c:axId val="360082440"/>
        <c:scaling>
          <c:orientation val="minMax"/>
        </c:scaling>
        <c:delete val="0"/>
        <c:axPos val="l"/>
        <c:numFmt formatCode="General" sourceLinked="0"/>
        <c:majorTickMark val="none"/>
        <c:minorTickMark val="none"/>
        <c:tickLblPos val="nextTo"/>
        <c:txPr>
          <a:bodyPr/>
          <a:lstStyle/>
          <a:p>
            <a:pPr>
              <a:defRPr lang="es-ES"/>
            </a:pPr>
            <a:endParaRPr lang="es-EC"/>
          </a:p>
        </c:txPr>
        <c:crossAx val="325766256"/>
        <c:crosses val="autoZero"/>
        <c:auto val="1"/>
        <c:lblAlgn val="ctr"/>
        <c:lblOffset val="100"/>
        <c:noMultiLvlLbl val="0"/>
      </c:catAx>
      <c:valAx>
        <c:axId val="325766256"/>
        <c:scaling>
          <c:orientation val="minMax"/>
        </c:scaling>
        <c:delete val="0"/>
        <c:axPos val="b"/>
        <c:majorGridlines/>
        <c:numFmt formatCode="#,##0.00" sourceLinked="1"/>
        <c:majorTickMark val="none"/>
        <c:minorTickMark val="none"/>
        <c:tickLblPos val="nextTo"/>
        <c:txPr>
          <a:bodyPr/>
          <a:lstStyle/>
          <a:p>
            <a:pPr>
              <a:defRPr lang="es-ES"/>
            </a:pPr>
            <a:endParaRPr lang="es-EC"/>
          </a:p>
        </c:txPr>
        <c:crossAx val="360082440"/>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sz="1800" b="1" i="0" baseline="0"/>
              <a:t>PORCENTAJE TOTAL DE CONCENTRACIÓN RENTABILIDAD 2010 GUAYAQUIL</a:t>
            </a:r>
            <a:endParaRPr lang="es-EC"/>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8.2343046763608707E-2"/>
          <c:y val="0.28586435670169602"/>
          <c:w val="0.86958841331333925"/>
          <c:h val="0.66687607810083538"/>
        </c:manualLayout>
      </c:layout>
      <c:pie3DChart>
        <c:varyColors val="1"/>
        <c:ser>
          <c:idx val="0"/>
          <c:order val="0"/>
          <c:dLbls>
            <c:spPr>
              <a:noFill/>
              <a:ln>
                <a:noFill/>
              </a:ln>
              <a:effectLst/>
            </c:spPr>
            <c:txPr>
              <a:bodyPr/>
              <a:lstStyle/>
              <a:p>
                <a:pPr>
                  <a:defRPr lang="es-ES" sz="14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laboratorios!$K$373:$L$373</c:f>
              <c:numCache>
                <c:formatCode>0%</c:formatCode>
                <c:ptCount val="2"/>
                <c:pt idx="0">
                  <c:v>0.8871</c:v>
                </c:pt>
                <c:pt idx="1">
                  <c:v>0.1129</c:v>
                </c:pt>
              </c:numCache>
            </c:numRef>
          </c:val>
        </c:ser>
        <c:dLbls>
          <c:showLegendKey val="0"/>
          <c:showVal val="0"/>
          <c:showCatName val="0"/>
          <c:showSerName val="0"/>
          <c:showPercent val="1"/>
          <c:showBubbleSize val="0"/>
          <c:showLeaderLines val="1"/>
        </c:dLbls>
      </c:pie3DChart>
    </c:plotArea>
    <c:plotVisOnly val="1"/>
    <c:dispBlanksAs val="zero"/>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sz="1400"/>
            </a:pPr>
            <a:r>
              <a:rPr lang="en-US" sz="1400"/>
              <a:t>PORCENTAJE DE ACTIVOS DE PRODUCTOS FARMACEUTICOS</a:t>
            </a:r>
            <a:r>
              <a:rPr lang="en-US" sz="1400" baseline="0"/>
              <a:t> 2009 QUITO</a:t>
            </a:r>
            <a:endParaRPr lang="en-US" sz="1400"/>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FARMACEUTICOS'!$B$88:$B$112</c:f>
              <c:strCache>
                <c:ptCount val="25"/>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RASERPHARM S.A</c:v>
                </c:pt>
                <c:pt idx="23">
                  <c:v>GENERICOS  GENAMERICA S.A.</c:v>
                </c:pt>
                <c:pt idx="24">
                  <c:v>BRISTOL MYERS SQUIBB ECUADOR CIA. LTDA.</c:v>
                </c:pt>
              </c:strCache>
            </c:strRef>
          </c:cat>
          <c:val>
            <c:numRef>
              <c:f>'PRODUCTOS FARMACEUTICOS'!$E$88:$E$112</c:f>
              <c:numCache>
                <c:formatCode>0.00</c:formatCode>
                <c:ptCount val="25"/>
                <c:pt idx="0">
                  <c:v>26.622662634140763</c:v>
                </c:pt>
                <c:pt idx="1">
                  <c:v>8.5957350346979915</c:v>
                </c:pt>
                <c:pt idx="2">
                  <c:v>0.51828277315555882</c:v>
                </c:pt>
                <c:pt idx="3">
                  <c:v>2.3439168818492981</c:v>
                </c:pt>
                <c:pt idx="4">
                  <c:v>1.41417142502576</c:v>
                </c:pt>
                <c:pt idx="5">
                  <c:v>3.3365819750551147</c:v>
                </c:pt>
                <c:pt idx="6">
                  <c:v>1.1389564104419561</c:v>
                </c:pt>
                <c:pt idx="7">
                  <c:v>7.3612201812659483</c:v>
                </c:pt>
                <c:pt idx="8">
                  <c:v>0.21867009532885295</c:v>
                </c:pt>
                <c:pt idx="9">
                  <c:v>3.3260806228897177</c:v>
                </c:pt>
                <c:pt idx="10">
                  <c:v>0.25289070682190001</c:v>
                </c:pt>
                <c:pt idx="11">
                  <c:v>4.2573678524050224E-2</c:v>
                </c:pt>
                <c:pt idx="12">
                  <c:v>0.56865065472285203</c:v>
                </c:pt>
                <c:pt idx="13">
                  <c:v>0</c:v>
                </c:pt>
                <c:pt idx="14">
                  <c:v>0.31293600569967023</c:v>
                </c:pt>
                <c:pt idx="15">
                  <c:v>1.9166841931632941</c:v>
                </c:pt>
                <c:pt idx="16">
                  <c:v>1.103754185633621</c:v>
                </c:pt>
                <c:pt idx="17">
                  <c:v>5.6610167308331225E-2</c:v>
                </c:pt>
                <c:pt idx="18">
                  <c:v>4.9585703333567546</c:v>
                </c:pt>
                <c:pt idx="19">
                  <c:v>4.4066835121186726E-2</c:v>
                </c:pt>
                <c:pt idx="20">
                  <c:v>16.957388926985221</c:v>
                </c:pt>
                <c:pt idx="21">
                  <c:v>0.3347117813693643</c:v>
                </c:pt>
                <c:pt idx="22">
                  <c:v>0</c:v>
                </c:pt>
                <c:pt idx="23">
                  <c:v>0.71093640114116197</c:v>
                </c:pt>
                <c:pt idx="24">
                  <c:v>17.86394809630162</c:v>
                </c:pt>
              </c:numCache>
            </c:numRef>
          </c:val>
        </c:ser>
        <c:dLbls>
          <c:showLegendKey val="0"/>
          <c:showVal val="1"/>
          <c:showCatName val="0"/>
          <c:showSerName val="0"/>
          <c:showPercent val="0"/>
          <c:showBubbleSize val="0"/>
        </c:dLbls>
        <c:gapWidth val="150"/>
        <c:shape val="box"/>
        <c:axId val="371356344"/>
        <c:axId val="371362224"/>
        <c:axId val="0"/>
      </c:bar3DChart>
      <c:catAx>
        <c:axId val="371356344"/>
        <c:scaling>
          <c:orientation val="minMax"/>
        </c:scaling>
        <c:delete val="0"/>
        <c:axPos val="b"/>
        <c:numFmt formatCode="General" sourceLinked="0"/>
        <c:majorTickMark val="none"/>
        <c:minorTickMark val="none"/>
        <c:tickLblPos val="nextTo"/>
        <c:txPr>
          <a:bodyPr/>
          <a:lstStyle/>
          <a:p>
            <a:pPr>
              <a:defRPr lang="es-ES"/>
            </a:pPr>
            <a:endParaRPr lang="es-EC"/>
          </a:p>
        </c:txPr>
        <c:crossAx val="371362224"/>
        <c:crosses val="autoZero"/>
        <c:auto val="1"/>
        <c:lblAlgn val="ctr"/>
        <c:lblOffset val="100"/>
        <c:noMultiLvlLbl val="0"/>
      </c:catAx>
      <c:valAx>
        <c:axId val="371362224"/>
        <c:scaling>
          <c:orientation val="minMax"/>
        </c:scaling>
        <c:delete val="1"/>
        <c:axPos val="l"/>
        <c:numFmt formatCode="0.00" sourceLinked="1"/>
        <c:majorTickMark val="none"/>
        <c:minorTickMark val="none"/>
        <c:tickLblPos val="none"/>
        <c:crossAx val="371356344"/>
        <c:crosses val="autoZero"/>
        <c:crossBetween val="between"/>
      </c:valAx>
    </c:plotArea>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ACTIVOS 2009 QUITO</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FARMACEUTICOS'!$B$88:$B$112</c:f>
              <c:strCache>
                <c:ptCount val="25"/>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RASERPHARM S.A</c:v>
                </c:pt>
                <c:pt idx="23">
                  <c:v>GENERICOS  GENAMERICA S.A.</c:v>
                </c:pt>
                <c:pt idx="24">
                  <c:v>BRISTOL MYERS SQUIBB ECUADOR CIA. LTDA.</c:v>
                </c:pt>
              </c:strCache>
            </c:strRef>
          </c:cat>
          <c:val>
            <c:numRef>
              <c:f>'PRODUCTOS FARMACEUTICOS'!$F$88:$F$112</c:f>
              <c:numCache>
                <c:formatCode>0.00</c:formatCode>
                <c:ptCount val="25"/>
                <c:pt idx="0">
                  <c:v>708.76616573127637</c:v>
                </c:pt>
                <c:pt idx="1">
                  <c:v>73.886660786734112</c:v>
                </c:pt>
                <c:pt idx="2">
                  <c:v>0.26861703294981709</c:v>
                </c:pt>
                <c:pt idx="3">
                  <c:v>5.4939463490181284</c:v>
                </c:pt>
                <c:pt idx="4">
                  <c:v>1.9998808193593851</c:v>
                </c:pt>
                <c:pt idx="5">
                  <c:v>11.132779276262703</c:v>
                </c:pt>
                <c:pt idx="6">
                  <c:v>1.297221704886824</c:v>
                </c:pt>
                <c:pt idx="7">
                  <c:v>54.18756255707703</c:v>
                </c:pt>
                <c:pt idx="8">
                  <c:v>4.7816610591129932E-2</c:v>
                </c:pt>
                <c:pt idx="9">
                  <c:v>11.062812309962473</c:v>
                </c:pt>
                <c:pt idx="10">
                  <c:v>6.3953709596880196E-2</c:v>
                </c:pt>
                <c:pt idx="11">
                  <c:v>1.8125181030691805E-3</c:v>
                </c:pt>
                <c:pt idx="12">
                  <c:v>0.3233635671167282</c:v>
                </c:pt>
                <c:pt idx="13">
                  <c:v>0</c:v>
                </c:pt>
                <c:pt idx="14">
                  <c:v>9.7928943663263837E-2</c:v>
                </c:pt>
                <c:pt idx="15">
                  <c:v>3.6736782963220249</c:v>
                </c:pt>
                <c:pt idx="16">
                  <c:v>1.218273302303738</c:v>
                </c:pt>
                <c:pt idx="17">
                  <c:v>3.2047110426772617E-3</c:v>
                </c:pt>
                <c:pt idx="18">
                  <c:v>24.587419750845726</c:v>
                </c:pt>
                <c:pt idx="19">
                  <c:v>1.9418859575978408E-3</c:v>
                </c:pt>
                <c:pt idx="20">
                  <c:v>287.55303922104099</c:v>
                </c:pt>
                <c:pt idx="21">
                  <c:v>0.11203197658745202</c:v>
                </c:pt>
                <c:pt idx="22">
                  <c:v>0</c:v>
                </c:pt>
                <c:pt idx="23">
                  <c:v>0.5054305664675478</c:v>
                </c:pt>
                <c:pt idx="24">
                  <c:v>319.12064158735893</c:v>
                </c:pt>
              </c:numCache>
            </c:numRef>
          </c:val>
        </c:ser>
        <c:dLbls>
          <c:showLegendKey val="0"/>
          <c:showVal val="0"/>
          <c:showCatName val="0"/>
          <c:showSerName val="0"/>
          <c:showPercent val="0"/>
          <c:showBubbleSize val="0"/>
        </c:dLbls>
        <c:gapWidth val="75"/>
        <c:shape val="box"/>
        <c:axId val="371355560"/>
        <c:axId val="371359088"/>
        <c:axId val="0"/>
      </c:bar3DChart>
      <c:catAx>
        <c:axId val="371355560"/>
        <c:scaling>
          <c:orientation val="minMax"/>
        </c:scaling>
        <c:delete val="0"/>
        <c:axPos val="l"/>
        <c:numFmt formatCode="General" sourceLinked="0"/>
        <c:majorTickMark val="none"/>
        <c:minorTickMark val="none"/>
        <c:tickLblPos val="nextTo"/>
        <c:txPr>
          <a:bodyPr/>
          <a:lstStyle/>
          <a:p>
            <a:pPr>
              <a:defRPr lang="es-ES"/>
            </a:pPr>
            <a:endParaRPr lang="es-EC"/>
          </a:p>
        </c:txPr>
        <c:crossAx val="371359088"/>
        <c:crosses val="autoZero"/>
        <c:auto val="1"/>
        <c:lblAlgn val="ctr"/>
        <c:lblOffset val="100"/>
        <c:noMultiLvlLbl val="0"/>
      </c:catAx>
      <c:valAx>
        <c:axId val="371359088"/>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55560"/>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CONCENTRACIÓN</a:t>
            </a:r>
          </a:p>
        </c:rich>
      </c:tx>
      <c:overlay val="0"/>
    </c:title>
    <c:autoTitleDeleted val="0"/>
    <c:plotArea>
      <c:layout/>
      <c:pieChart>
        <c:varyColors val="1"/>
        <c:ser>
          <c:idx val="0"/>
          <c:order val="0"/>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'PRODUCTOS FARMACEUTICOS'!$I$114:$J$114</c:f>
              <c:numCache>
                <c:formatCode>0%</c:formatCode>
                <c:ptCount val="2"/>
                <c:pt idx="0">
                  <c:v>0.61440000000000017</c:v>
                </c:pt>
                <c:pt idx="1">
                  <c:v>0.38560000000000011</c:v>
                </c:pt>
              </c:numCache>
            </c:numRef>
          </c:val>
        </c:ser>
        <c:dLbls>
          <c:showLegendKey val="0"/>
          <c:showVal val="0"/>
          <c:showCatName val="0"/>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ACTIVOS DE PRODUCTOS FARMACEUTICOS 2010 </a:t>
            </a:r>
          </a:p>
        </c:rich>
      </c:tx>
      <c:overlay val="0"/>
    </c:title>
    <c:autoTitleDeleted val="0"/>
    <c:view3D>
      <c:rotX val="15"/>
      <c:rotY val="20"/>
      <c:rAngAx val="0"/>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FARMACEUTICOS'!$B$88:$B$112</c:f>
              <c:strCache>
                <c:ptCount val="25"/>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RASERPHARM S.A</c:v>
                </c:pt>
                <c:pt idx="23">
                  <c:v>GENERICOS  GENAMERICA S.A.</c:v>
                </c:pt>
                <c:pt idx="24">
                  <c:v>BRISTOL MYERS SQUIBB ECUADOR CIA. LTDA.</c:v>
                </c:pt>
              </c:strCache>
            </c:strRef>
          </c:cat>
          <c:val>
            <c:numRef>
              <c:f>'PRODUCTOS FARMACEUTICOS'!$G$88:$G$112</c:f>
              <c:numCache>
                <c:formatCode>0.00</c:formatCode>
                <c:ptCount val="25"/>
                <c:pt idx="0">
                  <c:v>27.989396115959586</c:v>
                </c:pt>
                <c:pt idx="1">
                  <c:v>9.3455626783096371</c:v>
                </c:pt>
                <c:pt idx="2">
                  <c:v>1.150439569222182</c:v>
                </c:pt>
                <c:pt idx="3">
                  <c:v>1.4081642390863818</c:v>
                </c:pt>
                <c:pt idx="4">
                  <c:v>1.7285374233311521</c:v>
                </c:pt>
                <c:pt idx="5">
                  <c:v>3.8195518593611171</c:v>
                </c:pt>
                <c:pt idx="6">
                  <c:v>1.4827350694618304</c:v>
                </c:pt>
                <c:pt idx="7">
                  <c:v>7.2935019711330886</c:v>
                </c:pt>
                <c:pt idx="8">
                  <c:v>0.24092045094322906</c:v>
                </c:pt>
                <c:pt idx="9">
                  <c:v>1.9315656698132684</c:v>
                </c:pt>
                <c:pt idx="10">
                  <c:v>0</c:v>
                </c:pt>
                <c:pt idx="11">
                  <c:v>4.7164924832938229E-2</c:v>
                </c:pt>
                <c:pt idx="12">
                  <c:v>0.61021182783973604</c:v>
                </c:pt>
                <c:pt idx="13">
                  <c:v>3.168615565932241E-2</c:v>
                </c:pt>
                <c:pt idx="14">
                  <c:v>0.44009112891586299</c:v>
                </c:pt>
                <c:pt idx="15">
                  <c:v>2.0582470299805427</c:v>
                </c:pt>
                <c:pt idx="16">
                  <c:v>1.211854309861973</c:v>
                </c:pt>
                <c:pt idx="17">
                  <c:v>5.812976934500131E-2</c:v>
                </c:pt>
                <c:pt idx="18">
                  <c:v>4.482785559076639</c:v>
                </c:pt>
                <c:pt idx="19">
                  <c:v>4.4878057415433423E-2</c:v>
                </c:pt>
                <c:pt idx="20">
                  <c:v>19.06917674586882</c:v>
                </c:pt>
                <c:pt idx="21">
                  <c:v>0.30698040723062031</c:v>
                </c:pt>
                <c:pt idx="22">
                  <c:v>0</c:v>
                </c:pt>
                <c:pt idx="23">
                  <c:v>0.70523135646861024</c:v>
                </c:pt>
                <c:pt idx="24">
                  <c:v>14.543187680883019</c:v>
                </c:pt>
              </c:numCache>
            </c:numRef>
          </c:val>
        </c:ser>
        <c:dLbls>
          <c:showLegendKey val="0"/>
          <c:showVal val="0"/>
          <c:showCatName val="0"/>
          <c:showSerName val="0"/>
          <c:showPercent val="0"/>
          <c:showBubbleSize val="0"/>
        </c:dLbls>
        <c:gapWidth val="75"/>
        <c:shape val="cylinder"/>
        <c:axId val="371362616"/>
        <c:axId val="371363008"/>
        <c:axId val="0"/>
      </c:bar3DChart>
      <c:catAx>
        <c:axId val="371362616"/>
        <c:scaling>
          <c:orientation val="minMax"/>
        </c:scaling>
        <c:delete val="0"/>
        <c:axPos val="l"/>
        <c:numFmt formatCode="General" sourceLinked="0"/>
        <c:majorTickMark val="none"/>
        <c:minorTickMark val="none"/>
        <c:tickLblPos val="nextTo"/>
        <c:txPr>
          <a:bodyPr/>
          <a:lstStyle/>
          <a:p>
            <a:pPr>
              <a:defRPr lang="es-ES"/>
            </a:pPr>
            <a:endParaRPr lang="es-EC"/>
          </a:p>
        </c:txPr>
        <c:crossAx val="371363008"/>
        <c:crosses val="autoZero"/>
        <c:auto val="1"/>
        <c:lblAlgn val="ctr"/>
        <c:lblOffset val="100"/>
        <c:noMultiLvlLbl val="0"/>
      </c:catAx>
      <c:valAx>
        <c:axId val="371363008"/>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62616"/>
        <c:crosses val="autoZero"/>
        <c:crossBetween val="between"/>
      </c:valAx>
    </c:plotArea>
    <c:plotVisOnly val="1"/>
    <c:dispBlanksAs val="gap"/>
    <c:showDLblsOverMax val="0"/>
  </c:chart>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2010 QUITO</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FARMACEUTICOS'!$B$88:$B$112</c:f>
              <c:strCache>
                <c:ptCount val="25"/>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RASERPHARM S.A</c:v>
                </c:pt>
                <c:pt idx="23">
                  <c:v>GENERICOS  GENAMERICA S.A.</c:v>
                </c:pt>
                <c:pt idx="24">
                  <c:v>BRISTOL MYERS SQUIBB ECUADOR CIA. LTDA.</c:v>
                </c:pt>
              </c:strCache>
            </c:strRef>
          </c:cat>
          <c:val>
            <c:numRef>
              <c:f>'PRODUCTOS FARMACEUTICOS'!$H$88:$H$112</c:f>
              <c:numCache>
                <c:formatCode>0.00</c:formatCode>
                <c:ptCount val="25"/>
                <c:pt idx="0">
                  <c:v>783.40629493609458</c:v>
                </c:pt>
                <c:pt idx="1">
                  <c:v>87.33954177421333</c:v>
                </c:pt>
                <c:pt idx="2">
                  <c:v>1.3235112024321154</c:v>
                </c:pt>
                <c:pt idx="3">
                  <c:v>1.982926524241736</c:v>
                </c:pt>
                <c:pt idx="4">
                  <c:v>2.9878416238562928</c:v>
                </c:pt>
                <c:pt idx="5">
                  <c:v>14.588976406348969</c:v>
                </c:pt>
                <c:pt idx="6">
                  <c:v>2.1985032862119795</c:v>
                </c:pt>
                <c:pt idx="7">
                  <c:v>53.195171002922365</c:v>
                </c:pt>
                <c:pt idx="8">
                  <c:v>5.8042663682688803E-2</c:v>
                </c:pt>
                <c:pt idx="9">
                  <c:v>3.7309459368011715</c:v>
                </c:pt>
                <c:pt idx="10">
                  <c:v>0</c:v>
                </c:pt>
                <c:pt idx="11">
                  <c:v>2.2245301344967008E-3</c:v>
                </c:pt>
                <c:pt idx="12">
                  <c:v>0.37235847483551221</c:v>
                </c:pt>
                <c:pt idx="13">
                  <c:v>1.0040124604668106E-3</c:v>
                </c:pt>
                <c:pt idx="14">
                  <c:v>0.19368020175043901</c:v>
                </c:pt>
                <c:pt idx="15">
                  <c:v>4.2363808364237405</c:v>
                </c:pt>
                <c:pt idx="16">
                  <c:v>1.46859086833104</c:v>
                </c:pt>
                <c:pt idx="17">
                  <c:v>3.3790700841030506E-3</c:v>
                </c:pt>
                <c:pt idx="18">
                  <c:v>20.09536636866617</c:v>
                </c:pt>
                <c:pt idx="19">
                  <c:v>2.0140400373829309E-3</c:v>
                </c:pt>
                <c:pt idx="20">
                  <c:v>363.6335017651835</c:v>
                </c:pt>
                <c:pt idx="21">
                  <c:v>9.423697042347666E-2</c:v>
                </c:pt>
                <c:pt idx="22">
                  <c:v>0</c:v>
                </c:pt>
                <c:pt idx="23">
                  <c:v>0.49735126614655412</c:v>
                </c:pt>
                <c:pt idx="24">
                  <c:v>211.50430792138766</c:v>
                </c:pt>
              </c:numCache>
            </c:numRef>
          </c:val>
        </c:ser>
        <c:dLbls>
          <c:showLegendKey val="0"/>
          <c:showVal val="0"/>
          <c:showCatName val="0"/>
          <c:showSerName val="0"/>
          <c:showPercent val="0"/>
          <c:showBubbleSize val="0"/>
        </c:dLbls>
        <c:gapWidth val="75"/>
        <c:shape val="box"/>
        <c:axId val="371373984"/>
        <c:axId val="371372416"/>
        <c:axId val="0"/>
      </c:bar3DChart>
      <c:catAx>
        <c:axId val="371373984"/>
        <c:scaling>
          <c:orientation val="minMax"/>
        </c:scaling>
        <c:delete val="0"/>
        <c:axPos val="l"/>
        <c:numFmt formatCode="General" sourceLinked="0"/>
        <c:majorTickMark val="none"/>
        <c:minorTickMark val="none"/>
        <c:tickLblPos val="nextTo"/>
        <c:txPr>
          <a:bodyPr/>
          <a:lstStyle/>
          <a:p>
            <a:pPr>
              <a:defRPr lang="es-ES"/>
            </a:pPr>
            <a:endParaRPr lang="es-EC"/>
          </a:p>
        </c:txPr>
        <c:crossAx val="371372416"/>
        <c:crosses val="autoZero"/>
        <c:auto val="1"/>
        <c:lblAlgn val="ctr"/>
        <c:lblOffset val="100"/>
        <c:noMultiLvlLbl val="0"/>
      </c:catAx>
      <c:valAx>
        <c:axId val="371372416"/>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73984"/>
        <c:crosses val="autoZero"/>
        <c:crossBetween val="between"/>
      </c:valAx>
    </c:plotArea>
    <c:plotVisOnly val="1"/>
    <c:dispBlanksAs val="gap"/>
    <c:showDLblsOverMax val="0"/>
  </c:chart>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lang="es-ES"/>
            </a:pPr>
            <a:r>
              <a:rPr lang="en-US"/>
              <a:t>PORCENTAJE TOTAL DE CONCENTRACION 2010</a:t>
            </a:r>
          </a:p>
        </c:rich>
      </c:tx>
      <c:overlay val="0"/>
    </c:title>
    <c:autoTitleDeleted val="0"/>
    <c:plotArea>
      <c:layout/>
      <c:pieChart>
        <c:varyColors val="1"/>
        <c:ser>
          <c:idx val="0"/>
          <c:order val="0"/>
          <c:dLbls>
            <c:spPr>
              <a:noFill/>
              <a:ln>
                <a:noFill/>
              </a:ln>
              <a:effectLst/>
            </c:spPr>
            <c:txPr>
              <a:bodyPr/>
              <a:lstStyle/>
              <a:p>
                <a:pPr>
                  <a:defRPr lang="es-ES" sz="105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'PRODUCTOS FARMACEUTICOS'!$K$114:$L$114</c:f>
              <c:numCache>
                <c:formatCode>0%</c:formatCode>
                <c:ptCount val="2"/>
                <c:pt idx="0">
                  <c:v>0.70945195473468403</c:v>
                </c:pt>
                <c:pt idx="1">
                  <c:v>0.29054804526531702</c:v>
                </c:pt>
              </c:numCache>
            </c:numRef>
          </c:val>
        </c:ser>
        <c:dLbls>
          <c:showLegendKey val="0"/>
          <c:showVal val="0"/>
          <c:showCatName val="0"/>
          <c:showSerName val="0"/>
          <c:showPercent val="1"/>
          <c:showBubbleSize val="0"/>
          <c:showLeaderLines val="1"/>
        </c:dLbls>
        <c:firstSliceAng val="0"/>
      </c:pieChart>
    </c:plotArea>
    <c:legend>
      <c:legendPos val="t"/>
      <c:overlay val="0"/>
      <c:txPr>
        <a:bodyPr/>
        <a:lstStyle/>
        <a:p>
          <a:pPr rtl="0">
            <a:defRPr lang="es-ES"/>
          </a:pPr>
          <a:endParaRPr lang="es-EC"/>
        </a:p>
      </c:txPr>
    </c:legend>
    <c:plotVisOnly val="1"/>
    <c:dispBlanksAs val="zero"/>
    <c:showDLblsOverMax val="0"/>
  </c:chart>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ACTIVO GUAYAQUIL2009</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FARMACEUTICOS'!$B$186:$B$203</c:f>
              <c:strCache>
                <c:ptCount val="18"/>
                <c:pt idx="0">
                  <c:v>DISTRIBUIDORA FARMACEUTICA DIFARE .</c:v>
                </c:pt>
                <c:pt idx="1">
                  <c:v>CHEMEQUIP INDUSTRIAS </c:v>
                </c:pt>
                <c:pt idx="2">
                  <c:v>BAENA FARMAS S.A </c:v>
                </c:pt>
                <c:pt idx="3">
                  <c:v>PROVENCO</c:v>
                </c:pt>
                <c:pt idx="4">
                  <c:v>INSTITUTO FÁRMACO BIOLÓGICO INFABI</c:v>
                </c:pt>
                <c:pt idx="5">
                  <c:v>LETERARGO DEL ECUADOR S.A.</c:v>
                </c:pt>
                <c:pt idx="6">
                  <c:v>KIMTEMEN S.A.</c:v>
                </c:pt>
                <c:pt idx="7">
                  <c:v>BAYER</c:v>
                </c:pt>
                <c:pt idx="8">
                  <c:v>FRISONEX IMPORTADORA FARMACEUTICA</c:v>
                </c:pt>
                <c:pt idx="9">
                  <c:v>BLENASTOR C.A.</c:v>
                </c:pt>
                <c:pt idx="10">
                  <c:v>CASA INDUSTRIAL FARMACEUTICA S.A.</c:v>
                </c:pt>
                <c:pt idx="11">
                  <c:v>FARMACID</c:v>
                </c:pt>
                <c:pt idx="12">
                  <c:v>FORNAX PHARMACEUTICALS </c:v>
                </c:pt>
                <c:pt idx="13">
                  <c:v>GLAXOSMITHKLIVE  ECUADOR S.A</c:v>
                </c:pt>
                <c:pt idx="14">
                  <c:v>GENERICOS NACIONALES GENA</c:v>
                </c:pt>
                <c:pt idx="15">
                  <c:v>RASERPHARM S.A</c:v>
                </c:pt>
                <c:pt idx="16">
                  <c:v>GENERICOS  GENAMERICA S.A.</c:v>
                </c:pt>
                <c:pt idx="17">
                  <c:v>BRISTOL MYERS SQUIBB ECUADOR</c:v>
                </c:pt>
              </c:strCache>
            </c:strRef>
          </c:cat>
          <c:val>
            <c:numRef>
              <c:f>'PRODUCTOS FARMACEUTICOS'!$E$186:$E$203</c:f>
              <c:numCache>
                <c:formatCode>0.00</c:formatCode>
                <c:ptCount val="18"/>
                <c:pt idx="0">
                  <c:v>39.299656034224661</c:v>
                </c:pt>
                <c:pt idx="1">
                  <c:v>0.17841129502628711</c:v>
                </c:pt>
                <c:pt idx="2">
                  <c:v>9.4325526018298154E-3</c:v>
                </c:pt>
                <c:pt idx="3">
                  <c:v>0.19898473222760404</c:v>
                </c:pt>
                <c:pt idx="4">
                  <c:v>0.3959574206804462</c:v>
                </c:pt>
                <c:pt idx="5">
                  <c:v>19.808076985315122</c:v>
                </c:pt>
                <c:pt idx="6">
                  <c:v>0</c:v>
                </c:pt>
                <c:pt idx="7">
                  <c:v>0</c:v>
                </c:pt>
                <c:pt idx="8">
                  <c:v>1.3466192148301359</c:v>
                </c:pt>
                <c:pt idx="9">
                  <c:v>1.0043907958383878</c:v>
                </c:pt>
                <c:pt idx="10">
                  <c:v>5.1513943716298409E-2</c:v>
                </c:pt>
                <c:pt idx="11">
                  <c:v>4.5121843868540346</c:v>
                </c:pt>
                <c:pt idx="12">
                  <c:v>4.0099801362963407E-2</c:v>
                </c:pt>
                <c:pt idx="13">
                  <c:v>15.430831956427403</c:v>
                </c:pt>
                <c:pt idx="14">
                  <c:v>0.30457998424085031</c:v>
                </c:pt>
                <c:pt idx="15">
                  <c:v>0.51559429235693299</c:v>
                </c:pt>
                <c:pt idx="16">
                  <c:v>0.64693569186579525</c:v>
                </c:pt>
                <c:pt idx="17">
                  <c:v>16.255779845545906</c:v>
                </c:pt>
              </c:numCache>
            </c:numRef>
          </c:val>
        </c:ser>
        <c:dLbls>
          <c:showLegendKey val="0"/>
          <c:showVal val="0"/>
          <c:showCatName val="0"/>
          <c:showSerName val="0"/>
          <c:showPercent val="0"/>
          <c:showBubbleSize val="0"/>
        </c:dLbls>
        <c:gapWidth val="150"/>
        <c:axId val="371372808"/>
        <c:axId val="371364184"/>
      </c:barChart>
      <c:catAx>
        <c:axId val="371372808"/>
        <c:scaling>
          <c:orientation val="minMax"/>
        </c:scaling>
        <c:delete val="0"/>
        <c:axPos val="b"/>
        <c:numFmt formatCode="General" sourceLinked="0"/>
        <c:majorTickMark val="none"/>
        <c:minorTickMark val="none"/>
        <c:tickLblPos val="nextTo"/>
        <c:txPr>
          <a:bodyPr/>
          <a:lstStyle/>
          <a:p>
            <a:pPr>
              <a:defRPr lang="es-ES"/>
            </a:pPr>
            <a:endParaRPr lang="es-EC"/>
          </a:p>
        </c:txPr>
        <c:crossAx val="371364184"/>
        <c:crosses val="autoZero"/>
        <c:auto val="1"/>
        <c:lblAlgn val="ctr"/>
        <c:lblOffset val="100"/>
        <c:noMultiLvlLbl val="0"/>
      </c:catAx>
      <c:valAx>
        <c:axId val="371364184"/>
        <c:scaling>
          <c:orientation val="minMax"/>
        </c:scaling>
        <c:delete val="0"/>
        <c:axPos val="l"/>
        <c:majorGridlines/>
        <c:numFmt formatCode="0.00" sourceLinked="1"/>
        <c:majorTickMark val="none"/>
        <c:minorTickMark val="none"/>
        <c:tickLblPos val="nextTo"/>
        <c:txPr>
          <a:bodyPr/>
          <a:lstStyle/>
          <a:p>
            <a:pPr>
              <a:defRPr lang="es-ES"/>
            </a:pPr>
            <a:endParaRPr lang="es-EC"/>
          </a:p>
        </c:txPr>
        <c:crossAx val="371372808"/>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ACTIVO 2009 GUAYAQUIL</a:t>
            </a:r>
          </a:p>
        </c:rich>
      </c:tx>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FARMACEUTICOS'!$B$186:$B$203</c:f>
              <c:strCache>
                <c:ptCount val="18"/>
                <c:pt idx="0">
                  <c:v>DISTRIBUIDORA FARMACEUTICA DIFARE .</c:v>
                </c:pt>
                <c:pt idx="1">
                  <c:v>CHEMEQUIP INDUSTRIAS </c:v>
                </c:pt>
                <c:pt idx="2">
                  <c:v>BAENA FARMAS S.A </c:v>
                </c:pt>
                <c:pt idx="3">
                  <c:v>PROVENCO</c:v>
                </c:pt>
                <c:pt idx="4">
                  <c:v>INSTITUTO FÁRMACO BIOLÓGICO INFABI</c:v>
                </c:pt>
                <c:pt idx="5">
                  <c:v>LETERARGO DEL ECUADOR S.A.</c:v>
                </c:pt>
                <c:pt idx="6">
                  <c:v>KIMTEMEN S.A.</c:v>
                </c:pt>
                <c:pt idx="7">
                  <c:v>BAYER</c:v>
                </c:pt>
                <c:pt idx="8">
                  <c:v>FRISONEX IMPORTADORA FARMACEUTICA</c:v>
                </c:pt>
                <c:pt idx="9">
                  <c:v>BLENASTOR C.A.</c:v>
                </c:pt>
                <c:pt idx="10">
                  <c:v>CASA INDUSTRIAL FARMACEUTICA S.A.</c:v>
                </c:pt>
                <c:pt idx="11">
                  <c:v>FARMACID</c:v>
                </c:pt>
                <c:pt idx="12">
                  <c:v>FORNAX PHARMACEUTICALS </c:v>
                </c:pt>
                <c:pt idx="13">
                  <c:v>GLAXOSMITHKLIVE  ECUADOR S.A</c:v>
                </c:pt>
                <c:pt idx="14">
                  <c:v>GENERICOS NACIONALES GENA</c:v>
                </c:pt>
                <c:pt idx="15">
                  <c:v>RASERPHARM S.A</c:v>
                </c:pt>
                <c:pt idx="16">
                  <c:v>GENERICOS  GENAMERICA S.A.</c:v>
                </c:pt>
                <c:pt idx="17">
                  <c:v>BRISTOL MYERS SQUIBB ECUADOR</c:v>
                </c:pt>
              </c:strCache>
            </c:strRef>
          </c:cat>
          <c:val>
            <c:numRef>
              <c:f>'PRODUCTOS FARMACEUTICOS'!$F$186:$F$203</c:f>
              <c:numCache>
                <c:formatCode>0.00</c:formatCode>
                <c:ptCount val="18"/>
                <c:pt idx="0">
                  <c:v>1544.4629644083709</c:v>
                </c:pt>
                <c:pt idx="1">
                  <c:v>3.1830590192956712E-2</c:v>
                </c:pt>
                <c:pt idx="2">
                  <c:v>8.8973048586286297E-5</c:v>
                </c:pt>
                <c:pt idx="3">
                  <c:v>3.9594923659691299E-2</c:v>
                </c:pt>
                <c:pt idx="4">
                  <c:v>0.15678227899191105</c:v>
                </c:pt>
                <c:pt idx="5">
                  <c:v>392.35991385617189</c:v>
                </c:pt>
                <c:pt idx="6">
                  <c:v>0</c:v>
                </c:pt>
                <c:pt idx="7">
                  <c:v>0</c:v>
                </c:pt>
                <c:pt idx="8">
                  <c:v>1.8133833097497334</c:v>
                </c:pt>
                <c:pt idx="9">
                  <c:v>1.008800870764873</c:v>
                </c:pt>
                <c:pt idx="10">
                  <c:v>2.653686397205961E-3</c:v>
                </c:pt>
                <c:pt idx="11">
                  <c:v>20.359807940969379</c:v>
                </c:pt>
                <c:pt idx="12">
                  <c:v>1.6079940693491202E-3</c:v>
                </c:pt>
                <c:pt idx="13">
                  <c:v>238.11057486750053</c:v>
                </c:pt>
                <c:pt idx="14">
                  <c:v>9.2768966800155908E-2</c:v>
                </c:pt>
                <c:pt idx="15">
                  <c:v>0.2658374743110471</c:v>
                </c:pt>
                <c:pt idx="16">
                  <c:v>0.41852578940987423</c:v>
                </c:pt>
                <c:pt idx="17">
                  <c:v>264.25037838685961</c:v>
                </c:pt>
              </c:numCache>
            </c:numRef>
          </c:val>
        </c:ser>
        <c:dLbls>
          <c:showLegendKey val="0"/>
          <c:showVal val="0"/>
          <c:showCatName val="0"/>
          <c:showSerName val="0"/>
          <c:showPercent val="0"/>
          <c:showBubbleSize val="0"/>
        </c:dLbls>
        <c:gapWidth val="75"/>
        <c:overlap val="-25"/>
        <c:axId val="371365752"/>
        <c:axId val="371373592"/>
      </c:barChart>
      <c:catAx>
        <c:axId val="371365752"/>
        <c:scaling>
          <c:orientation val="minMax"/>
        </c:scaling>
        <c:delete val="0"/>
        <c:axPos val="l"/>
        <c:numFmt formatCode="General" sourceLinked="0"/>
        <c:majorTickMark val="none"/>
        <c:minorTickMark val="none"/>
        <c:tickLblPos val="nextTo"/>
        <c:txPr>
          <a:bodyPr/>
          <a:lstStyle/>
          <a:p>
            <a:pPr>
              <a:defRPr lang="es-ES"/>
            </a:pPr>
            <a:endParaRPr lang="es-EC"/>
          </a:p>
        </c:txPr>
        <c:crossAx val="371373592"/>
        <c:crosses val="autoZero"/>
        <c:auto val="1"/>
        <c:lblAlgn val="ctr"/>
        <c:lblOffset val="100"/>
        <c:noMultiLvlLbl val="0"/>
      </c:catAx>
      <c:valAx>
        <c:axId val="371373592"/>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65752"/>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CONCENTRACION DE ACTIVOS 2009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explosion val="25"/>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'PRODUCTOS FARMACEUTICOS'!$I$206:$I$207</c:f>
              <c:numCache>
                <c:formatCode>0%</c:formatCode>
                <c:ptCount val="2"/>
                <c:pt idx="0">
                  <c:v>0.907956493854297</c:v>
                </c:pt>
                <c:pt idx="1">
                  <c:v>9.2043506145703294E-2</c:v>
                </c:pt>
              </c:numCache>
            </c:numRef>
          </c:val>
        </c:ser>
        <c:dLbls>
          <c:showLegendKey val="0"/>
          <c:showVal val="0"/>
          <c:showCatName val="0"/>
          <c:showSerName val="0"/>
          <c:showPercent val="1"/>
          <c:showBubbleSize val="0"/>
          <c:showLeaderLines val="0"/>
        </c:dLbls>
      </c:pie3DChart>
    </c:plotArea>
    <c:plotVisOnly val="1"/>
    <c:dispBlanksAs val="zero"/>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2.1470742478562513E-3"/>
                  <c:y val="-6.122448979591840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5.7823129251700925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5.7823129251700821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122448979591829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1470742478562513E-3"/>
                  <c:y val="-7.4829931972789129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6.8027210884353706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7.1428571428571425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4.2941484957124713E-3"/>
                  <c:y val="-6.4625850340136029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1470742478562513E-3"/>
                  <c:y val="-6.462585034013611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6.122448979591829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0"/>
                  <c:y val="-7.142883925223642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2.1470742478562513E-3"/>
                  <c:y val="-7.1428571428571522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0"/>
                  <c:y val="-0.290726895980109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4.0816326530612519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Hoja1!$B$58:$B$71</c:f>
              <c:strCache>
                <c:ptCount val="14"/>
                <c:pt idx="0">
                  <c:v>CLINICA  MARÍA AUXILIADORA</c:v>
                </c:pt>
                <c:pt idx="1">
                  <c:v>CENTRO CEFAVIS  SANA S.A.</c:v>
                </c:pt>
                <c:pt idx="2">
                  <c:v>CLINICA  GALENOSS.A</c:v>
                </c:pt>
                <c:pt idx="3">
                  <c:v>CLINICA MODERNA CIA.LTDA</c:v>
                </c:pt>
                <c:pt idx="4">
                  <c:v>CLINICA  OLIMPUS SASEBIS.A</c:v>
                </c:pt>
                <c:pt idx="5">
                  <c:v>CLINICA SAN GABRIEL  </c:v>
                </c:pt>
                <c:pt idx="6">
                  <c:v>CLINICA CLIGEVISA CIA.LTDA</c:v>
                </c:pt>
                <c:pt idx="7">
                  <c:v>CLINICA CONOCOTO  </c:v>
                </c:pt>
                <c:pt idx="8">
                  <c:v>CLINICA  CEMEDSSO CIA LTDA.</c:v>
                </c:pt>
                <c:pt idx="9">
                  <c:v>HOSPITAL INGLES CIA. LTDA.</c:v>
                </c:pt>
                <c:pt idx="10">
                  <c:v>CENTRO CENTROMAMARIA </c:v>
                </c:pt>
                <c:pt idx="11">
                  <c:v>NOVACLINICA</c:v>
                </c:pt>
                <c:pt idx="12">
                  <c:v>TECOCEL S.A.  </c:v>
                </c:pt>
                <c:pt idx="13">
                  <c:v>CLINICA INGLATERRA</c:v>
                </c:pt>
              </c:strCache>
            </c:strRef>
          </c:cat>
          <c:val>
            <c:numRef>
              <c:f>Hoja1!$F$58:$F$71</c:f>
              <c:numCache>
                <c:formatCode>#,##0.00</c:formatCode>
                <c:ptCount val="14"/>
                <c:pt idx="0">
                  <c:v>0.2420456319513011</c:v>
                </c:pt>
                <c:pt idx="1">
                  <c:v>8.1815013217147496E-4</c:v>
                </c:pt>
                <c:pt idx="2">
                  <c:v>0.36081212610416113</c:v>
                </c:pt>
                <c:pt idx="3">
                  <c:v>0.28799262453721702</c:v>
                </c:pt>
                <c:pt idx="4">
                  <c:v>8.4102985114821033E-3</c:v>
                </c:pt>
                <c:pt idx="5">
                  <c:v>0.22758802180319401</c:v>
                </c:pt>
                <c:pt idx="6">
                  <c:v>2.4168383624312905E-2</c:v>
                </c:pt>
                <c:pt idx="7">
                  <c:v>1.9467870363175214E-2</c:v>
                </c:pt>
                <c:pt idx="8">
                  <c:v>5.7361126441594211E-2</c:v>
                </c:pt>
                <c:pt idx="9">
                  <c:v>26.443381175693087</c:v>
                </c:pt>
                <c:pt idx="10">
                  <c:v>3.321285213819522E-2</c:v>
                </c:pt>
                <c:pt idx="11">
                  <c:v>143.63883164849204</c:v>
                </c:pt>
                <c:pt idx="12">
                  <c:v>6388.0638176463281</c:v>
                </c:pt>
                <c:pt idx="13">
                  <c:v>0</c:v>
                </c:pt>
              </c:numCache>
            </c:numRef>
          </c:val>
        </c:ser>
        <c:dLbls>
          <c:showLegendKey val="0"/>
          <c:showVal val="1"/>
          <c:showCatName val="0"/>
          <c:showSerName val="0"/>
          <c:showPercent val="0"/>
          <c:showBubbleSize val="0"/>
        </c:dLbls>
        <c:gapWidth val="75"/>
        <c:shape val="box"/>
        <c:axId val="325767432"/>
        <c:axId val="325770176"/>
        <c:axId val="0"/>
      </c:bar3DChart>
      <c:catAx>
        <c:axId val="325767432"/>
        <c:scaling>
          <c:orientation val="minMax"/>
        </c:scaling>
        <c:delete val="0"/>
        <c:axPos val="b"/>
        <c:numFmt formatCode="General" sourceLinked="0"/>
        <c:majorTickMark val="none"/>
        <c:minorTickMark val="none"/>
        <c:tickLblPos val="nextTo"/>
        <c:txPr>
          <a:bodyPr/>
          <a:lstStyle/>
          <a:p>
            <a:pPr>
              <a:defRPr lang="es-ES"/>
            </a:pPr>
            <a:endParaRPr lang="es-EC"/>
          </a:p>
        </c:txPr>
        <c:crossAx val="325770176"/>
        <c:crosses val="autoZero"/>
        <c:auto val="1"/>
        <c:lblAlgn val="ctr"/>
        <c:lblOffset val="100"/>
        <c:noMultiLvlLbl val="0"/>
      </c:catAx>
      <c:valAx>
        <c:axId val="325770176"/>
        <c:scaling>
          <c:orientation val="minMax"/>
        </c:scaling>
        <c:delete val="0"/>
        <c:axPos val="l"/>
        <c:numFmt formatCode="#,##0.00" sourceLinked="1"/>
        <c:majorTickMark val="none"/>
        <c:minorTickMark val="none"/>
        <c:tickLblPos val="nextTo"/>
        <c:txPr>
          <a:bodyPr/>
          <a:lstStyle/>
          <a:p>
            <a:pPr>
              <a:defRPr lang="es-ES"/>
            </a:pPr>
            <a:endParaRPr lang="es-EC"/>
          </a:p>
        </c:txPr>
        <c:crossAx val="325767432"/>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ACTIVO 2010 GUAYAQUIL</a:t>
            </a:r>
          </a:p>
        </c:rich>
      </c:tx>
      <c:overlay val="0"/>
    </c:title>
    <c:autoTitleDeleted val="0"/>
    <c:plotArea>
      <c:layout/>
      <c:bar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FARMACEUTICOS'!$B$186:$B$203</c:f>
              <c:strCache>
                <c:ptCount val="18"/>
                <c:pt idx="0">
                  <c:v>DISTRIBUIDORA FARMACEUTICA DIFARE .</c:v>
                </c:pt>
                <c:pt idx="1">
                  <c:v>CHEMEQUIP INDUSTRIAS </c:v>
                </c:pt>
                <c:pt idx="2">
                  <c:v>BAENA FARMAS S.A </c:v>
                </c:pt>
                <c:pt idx="3">
                  <c:v>PROVENCO</c:v>
                </c:pt>
                <c:pt idx="4">
                  <c:v>INSTITUTO FÁRMACO BIOLÓGICO INFABI</c:v>
                </c:pt>
                <c:pt idx="5">
                  <c:v>LETERARGO DEL ECUADOR S.A.</c:v>
                </c:pt>
                <c:pt idx="6">
                  <c:v>KIMTEMEN S.A.</c:v>
                </c:pt>
                <c:pt idx="7">
                  <c:v>BAYER</c:v>
                </c:pt>
                <c:pt idx="8">
                  <c:v>FRISONEX IMPORTADORA FARMACEUTICA</c:v>
                </c:pt>
                <c:pt idx="9">
                  <c:v>BLENASTOR C.A.</c:v>
                </c:pt>
                <c:pt idx="10">
                  <c:v>CASA INDUSTRIAL FARMACEUTICA S.A.</c:v>
                </c:pt>
                <c:pt idx="11">
                  <c:v>FARMACID</c:v>
                </c:pt>
                <c:pt idx="12">
                  <c:v>FORNAX PHARMACEUTICALS </c:v>
                </c:pt>
                <c:pt idx="13">
                  <c:v>GLAXOSMITHKLIVE  ECUADOR S.A</c:v>
                </c:pt>
                <c:pt idx="14">
                  <c:v>GENERICOS NACIONALES GENA</c:v>
                </c:pt>
                <c:pt idx="15">
                  <c:v>RASERPHARM S.A</c:v>
                </c:pt>
                <c:pt idx="16">
                  <c:v>GENERICOS  GENAMERICA S.A.</c:v>
                </c:pt>
                <c:pt idx="17">
                  <c:v>BRISTOL MYERS SQUIBB ECUADOR</c:v>
                </c:pt>
              </c:strCache>
            </c:strRef>
          </c:cat>
          <c:val>
            <c:numRef>
              <c:f>'PRODUCTOS FARMACEUTICOS'!$G$186:$G$203</c:f>
              <c:numCache>
                <c:formatCode>0.00</c:formatCode>
                <c:ptCount val="18"/>
                <c:pt idx="0">
                  <c:v>37.136504040104874</c:v>
                </c:pt>
                <c:pt idx="1">
                  <c:v>0.15566285927175896</c:v>
                </c:pt>
                <c:pt idx="2">
                  <c:v>1.2404673550109058</c:v>
                </c:pt>
                <c:pt idx="3">
                  <c:v>0.21222947313551901</c:v>
                </c:pt>
                <c:pt idx="4">
                  <c:v>0.104065597627803</c:v>
                </c:pt>
                <c:pt idx="5">
                  <c:v>23.577289709024701</c:v>
                </c:pt>
                <c:pt idx="6">
                  <c:v>0</c:v>
                </c:pt>
                <c:pt idx="7">
                  <c:v>0</c:v>
                </c:pt>
                <c:pt idx="8">
                  <c:v>1.4464240948398654</c:v>
                </c:pt>
                <c:pt idx="9">
                  <c:v>1.0675357807611758</c:v>
                </c:pt>
                <c:pt idx="10">
                  <c:v>5.12071527065419E-2</c:v>
                </c:pt>
                <c:pt idx="11">
                  <c:v>3.9489350682252202</c:v>
                </c:pt>
                <c:pt idx="12">
                  <c:v>3.9533574021357515E-2</c:v>
                </c:pt>
                <c:pt idx="13">
                  <c:v>16.798247380242014</c:v>
                </c:pt>
                <c:pt idx="14">
                  <c:v>0.2704224146784181</c:v>
                </c:pt>
                <c:pt idx="15">
                  <c:v>0.51810108021307621</c:v>
                </c:pt>
                <c:pt idx="16">
                  <c:v>0.62124605294404522</c:v>
                </c:pt>
                <c:pt idx="17">
                  <c:v>12.811253868821963</c:v>
                </c:pt>
              </c:numCache>
            </c:numRef>
          </c:val>
        </c:ser>
        <c:dLbls>
          <c:showLegendKey val="0"/>
          <c:showVal val="0"/>
          <c:showCatName val="0"/>
          <c:showSerName val="0"/>
          <c:showPercent val="0"/>
          <c:showBubbleSize val="0"/>
        </c:dLbls>
        <c:gapWidth val="75"/>
        <c:overlap val="-25"/>
        <c:axId val="371371240"/>
        <c:axId val="371374376"/>
      </c:barChart>
      <c:catAx>
        <c:axId val="371371240"/>
        <c:scaling>
          <c:orientation val="minMax"/>
        </c:scaling>
        <c:delete val="0"/>
        <c:axPos val="b"/>
        <c:numFmt formatCode="General" sourceLinked="0"/>
        <c:majorTickMark val="none"/>
        <c:minorTickMark val="none"/>
        <c:tickLblPos val="nextTo"/>
        <c:txPr>
          <a:bodyPr/>
          <a:lstStyle/>
          <a:p>
            <a:pPr>
              <a:defRPr lang="es-ES"/>
            </a:pPr>
            <a:endParaRPr lang="es-EC"/>
          </a:p>
        </c:txPr>
        <c:crossAx val="371374376"/>
        <c:crosses val="autoZero"/>
        <c:auto val="1"/>
        <c:lblAlgn val="ctr"/>
        <c:lblOffset val="100"/>
        <c:noMultiLvlLbl val="0"/>
      </c:catAx>
      <c:valAx>
        <c:axId val="371374376"/>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EC"/>
          </a:p>
        </c:txPr>
        <c:crossAx val="371371240"/>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CONCENTRACIÓN ACTIVO 2010 GUAYAQUIL</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FARMACEUTICOS'!$B$186:$B$203</c:f>
              <c:strCache>
                <c:ptCount val="18"/>
                <c:pt idx="0">
                  <c:v>DISTRIBUIDORA FARMACEUTICA DIFARE .</c:v>
                </c:pt>
                <c:pt idx="1">
                  <c:v>CHEMEQUIP INDUSTRIAS </c:v>
                </c:pt>
                <c:pt idx="2">
                  <c:v>BAENA FARMAS S.A </c:v>
                </c:pt>
                <c:pt idx="3">
                  <c:v>PROVENCO</c:v>
                </c:pt>
                <c:pt idx="4">
                  <c:v>INSTITUTO FÁRMACO BIOLÓGICO INFABI</c:v>
                </c:pt>
                <c:pt idx="5">
                  <c:v>LETERARGO DEL ECUADOR S.A.</c:v>
                </c:pt>
                <c:pt idx="6">
                  <c:v>KIMTEMEN S.A.</c:v>
                </c:pt>
                <c:pt idx="7">
                  <c:v>BAYER</c:v>
                </c:pt>
                <c:pt idx="8">
                  <c:v>FRISONEX IMPORTADORA FARMACEUTICA</c:v>
                </c:pt>
                <c:pt idx="9">
                  <c:v>BLENASTOR C.A.</c:v>
                </c:pt>
                <c:pt idx="10">
                  <c:v>CASA INDUSTRIAL FARMACEUTICA S.A.</c:v>
                </c:pt>
                <c:pt idx="11">
                  <c:v>FARMACID</c:v>
                </c:pt>
                <c:pt idx="12">
                  <c:v>FORNAX PHARMACEUTICALS </c:v>
                </c:pt>
                <c:pt idx="13">
                  <c:v>GLAXOSMITHKLIVE  ECUADOR S.A</c:v>
                </c:pt>
                <c:pt idx="14">
                  <c:v>GENERICOS NACIONALES GENA</c:v>
                </c:pt>
                <c:pt idx="15">
                  <c:v>RASERPHARM S.A</c:v>
                </c:pt>
                <c:pt idx="16">
                  <c:v>GENERICOS  GENAMERICA S.A.</c:v>
                </c:pt>
                <c:pt idx="17">
                  <c:v>BRISTOL MYERS SQUIBB ECUADOR</c:v>
                </c:pt>
              </c:strCache>
            </c:strRef>
          </c:cat>
          <c:val>
            <c:numRef>
              <c:f>'PRODUCTOS FARMACEUTICOS'!$H$186:$H$203</c:f>
              <c:numCache>
                <c:formatCode>0.00</c:formatCode>
                <c:ptCount val="18"/>
                <c:pt idx="0">
                  <c:v>1379.11993232072</c:v>
                </c:pt>
                <c:pt idx="1">
                  <c:v>2.4230925756659406E-2</c:v>
                </c:pt>
                <c:pt idx="2">
                  <c:v>1.538759258847753</c:v>
                </c:pt>
                <c:pt idx="3">
                  <c:v>4.5041349267379786E-2</c:v>
                </c:pt>
                <c:pt idx="4">
                  <c:v>1.0829648609631801E-2</c:v>
                </c:pt>
                <c:pt idx="5">
                  <c:v>555.88859002328161</c:v>
                </c:pt>
                <c:pt idx="6">
                  <c:v>0</c:v>
                </c:pt>
                <c:pt idx="7">
                  <c:v>0</c:v>
                </c:pt>
                <c:pt idx="8">
                  <c:v>2.092142662133333</c:v>
                </c:pt>
                <c:pt idx="9">
                  <c:v>1.1396326432053718</c:v>
                </c:pt>
                <c:pt idx="10">
                  <c:v>2.6221724883111006E-3</c:v>
                </c:pt>
                <c:pt idx="11">
                  <c:v>15.594088173058919</c:v>
                </c:pt>
                <c:pt idx="12">
                  <c:v>1.5629034749021602E-3</c:v>
                </c:pt>
                <c:pt idx="13">
                  <c:v>282.18111504780808</c:v>
                </c:pt>
                <c:pt idx="14">
                  <c:v>7.3128282360506017E-2</c:v>
                </c:pt>
                <c:pt idx="15">
                  <c:v>0.2684287293179563</c:v>
                </c:pt>
                <c:pt idx="16">
                  <c:v>0.38594665829855412</c:v>
                </c:pt>
                <c:pt idx="17">
                  <c:v>164.1282256914057</c:v>
                </c:pt>
              </c:numCache>
            </c:numRef>
          </c:val>
        </c:ser>
        <c:dLbls>
          <c:showLegendKey val="0"/>
          <c:showVal val="0"/>
          <c:showCatName val="0"/>
          <c:showSerName val="0"/>
          <c:showPercent val="0"/>
          <c:showBubbleSize val="0"/>
        </c:dLbls>
        <c:gapWidth val="75"/>
        <c:shape val="box"/>
        <c:axId val="371366536"/>
        <c:axId val="371368496"/>
        <c:axId val="0"/>
      </c:bar3DChart>
      <c:catAx>
        <c:axId val="371366536"/>
        <c:scaling>
          <c:orientation val="minMax"/>
        </c:scaling>
        <c:delete val="0"/>
        <c:axPos val="l"/>
        <c:numFmt formatCode="General" sourceLinked="0"/>
        <c:majorTickMark val="none"/>
        <c:minorTickMark val="none"/>
        <c:tickLblPos val="nextTo"/>
        <c:txPr>
          <a:bodyPr/>
          <a:lstStyle/>
          <a:p>
            <a:pPr>
              <a:defRPr lang="es-ES"/>
            </a:pPr>
            <a:endParaRPr lang="es-EC"/>
          </a:p>
        </c:txPr>
        <c:crossAx val="371368496"/>
        <c:crosses val="autoZero"/>
        <c:auto val="1"/>
        <c:lblAlgn val="ctr"/>
        <c:lblOffset val="100"/>
        <c:noMultiLvlLbl val="0"/>
      </c:catAx>
      <c:valAx>
        <c:axId val="371368496"/>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66536"/>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CONCENTRACION 2010 GUAYAQUIL</a:t>
            </a:r>
          </a:p>
          <a:p>
            <a:pPr>
              <a:defRPr lang="es-ES"/>
            </a:pPr>
            <a:endParaRPr lang="en-US"/>
          </a:p>
        </c:rich>
      </c:tx>
      <c:overlay val="0"/>
    </c:title>
    <c:autoTitleDeleted val="0"/>
    <c:plotArea>
      <c:layout/>
      <c:pieChart>
        <c:varyColors val="1"/>
        <c:ser>
          <c:idx val="0"/>
          <c:order val="0"/>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'PRODUCTOS FARMACEUTICOS'!$K$206:$K$207</c:f>
              <c:numCache>
                <c:formatCode>0%</c:formatCode>
                <c:ptCount val="2"/>
                <c:pt idx="0">
                  <c:v>0.92653066040649101</c:v>
                </c:pt>
                <c:pt idx="1">
                  <c:v>7.3469339593508695E-2</c:v>
                </c:pt>
              </c:numCache>
            </c:numRef>
          </c:val>
        </c:ser>
        <c:dLbls>
          <c:showLegendKey val="0"/>
          <c:showVal val="0"/>
          <c:showCatName val="0"/>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PORCENTAJE DE RENTABILIDAD 2009</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2964599412697182"/>
          <c:y val="0.17118443527892305"/>
          <c:w val="0.70354005873028302"/>
          <c:h val="0.79442403032954223"/>
        </c:manualLayout>
      </c:layout>
      <c:bar3DChart>
        <c:barDir val="bar"/>
        <c:grouping val="stacked"/>
        <c:varyColors val="0"/>
        <c:ser>
          <c:idx val="0"/>
          <c:order val="0"/>
          <c:invertIfNegative val="0"/>
          <c:dLbls>
            <c:dLbl>
              <c:idx val="0"/>
              <c:layout>
                <c:manualLayout>
                  <c:x val="0.26402640264026411"/>
                  <c:y val="-2.6455026455026519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8069306930693102E-2"/>
                  <c:y val="-7.936507936507943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4.5379537953795429E-2"/>
                  <c:y val="9.7000643108724474E-17"/>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504950495049507E-2"/>
                  <c:y val="0"/>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3943894389438899E-2"/>
                  <c:y val="0"/>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6.8069306930693102E-2"/>
                  <c:y val="-2.6455026455027416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013201320132012E-2"/>
                  <c:y val="2.6455026455026519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9009900990099167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3630363036303613E-2"/>
                  <c:y val="-2.6455026455026519E-3"/>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8696369636963854E-2"/>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4.9504950495049507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4.3316831683168328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4.1254125412541309E-2"/>
                  <c:y val="0"/>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1567656765676602E-2"/>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5.3630363036303613E-2"/>
                  <c:y val="2.6455026455026519E-3"/>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1567656765676602E-2"/>
                  <c:y val="5.2910052910052924E-3"/>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4.1254125412541309E-2"/>
                  <c:y val="0"/>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3630363036303613E-2"/>
                  <c:y val="4.8500321554362175E-17"/>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5.3630363036303613E-2"/>
                  <c:y val="0"/>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4.5379537953795429E-2"/>
                  <c:y val="0"/>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8.6633663366336724E-2"/>
                  <c:y val="-2.6455026455026519E-3"/>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6.6006600660066E-2"/>
                  <c:y val="-2.4250160777181042E-17"/>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6.3943894389438899E-2"/>
                  <c:y val="2.4250160777181042E-17"/>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FARMACEUTICOS'!$B$325:$B$347</c:f>
              <c:strCache>
                <c:ptCount val="23"/>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GENERICOS  GENAMERICA S.A.</c:v>
                </c:pt>
              </c:strCache>
            </c:strRef>
          </c:cat>
          <c:val>
            <c:numRef>
              <c:f>'PRODUCTOS FARMACEUTICOS'!$E$325:$E$347</c:f>
              <c:numCache>
                <c:formatCode>0.0</c:formatCode>
                <c:ptCount val="23"/>
                <c:pt idx="0">
                  <c:v>68.188995633694176</c:v>
                </c:pt>
                <c:pt idx="1">
                  <c:v>9.796108236865626</c:v>
                </c:pt>
                <c:pt idx="2">
                  <c:v>3.7127192330762913E-2</c:v>
                </c:pt>
                <c:pt idx="3">
                  <c:v>0.62959158443930219</c:v>
                </c:pt>
                <c:pt idx="4">
                  <c:v>4.1817112033867065</c:v>
                </c:pt>
                <c:pt idx="5">
                  <c:v>9.9931254277220987</c:v>
                </c:pt>
                <c:pt idx="6">
                  <c:v>-10.016600794208372</c:v>
                </c:pt>
                <c:pt idx="7">
                  <c:v>-19.863017918081635</c:v>
                </c:pt>
                <c:pt idx="8">
                  <c:v>1.1820521983776175</c:v>
                </c:pt>
                <c:pt idx="9">
                  <c:v>15.19211244737631</c:v>
                </c:pt>
                <c:pt idx="10">
                  <c:v>-2.6686398751639521E-5</c:v>
                </c:pt>
                <c:pt idx="11">
                  <c:v>-1.0037031831777302E-2</c:v>
                </c:pt>
                <c:pt idx="12">
                  <c:v>2.0750957236357777</c:v>
                </c:pt>
                <c:pt idx="13">
                  <c:v>0</c:v>
                </c:pt>
                <c:pt idx="14">
                  <c:v>0.17002771086187404</c:v>
                </c:pt>
                <c:pt idx="15">
                  <c:v>1.0853273461022979</c:v>
                </c:pt>
                <c:pt idx="16">
                  <c:v>3.4169668723346387</c:v>
                </c:pt>
                <c:pt idx="17">
                  <c:v>0.13015996400995994</c:v>
                </c:pt>
                <c:pt idx="18">
                  <c:v>0</c:v>
                </c:pt>
                <c:pt idx="19">
                  <c:v>0.10745070511383302</c:v>
                </c:pt>
                <c:pt idx="20">
                  <c:v>13.54109531166363</c:v>
                </c:pt>
                <c:pt idx="21">
                  <c:v>0.40985941617267913</c:v>
                </c:pt>
                <c:pt idx="22">
                  <c:v>-0.24712454356705604</c:v>
                </c:pt>
              </c:numCache>
            </c:numRef>
          </c:val>
        </c:ser>
        <c:dLbls>
          <c:showLegendKey val="0"/>
          <c:showVal val="1"/>
          <c:showCatName val="0"/>
          <c:showSerName val="0"/>
          <c:showPercent val="0"/>
          <c:showBubbleSize val="0"/>
        </c:dLbls>
        <c:gapWidth val="150"/>
        <c:shape val="box"/>
        <c:axId val="371365360"/>
        <c:axId val="371370064"/>
        <c:axId val="0"/>
      </c:bar3DChart>
      <c:catAx>
        <c:axId val="371365360"/>
        <c:scaling>
          <c:orientation val="minMax"/>
        </c:scaling>
        <c:delete val="0"/>
        <c:axPos val="l"/>
        <c:numFmt formatCode="General" sourceLinked="0"/>
        <c:majorTickMark val="none"/>
        <c:minorTickMark val="none"/>
        <c:tickLblPos val="nextTo"/>
        <c:txPr>
          <a:bodyPr/>
          <a:lstStyle/>
          <a:p>
            <a:pPr>
              <a:defRPr lang="es-ES"/>
            </a:pPr>
            <a:endParaRPr lang="es-EC"/>
          </a:p>
        </c:txPr>
        <c:crossAx val="371370064"/>
        <c:crosses val="autoZero"/>
        <c:auto val="1"/>
        <c:lblAlgn val="ctr"/>
        <c:lblOffset val="100"/>
        <c:noMultiLvlLbl val="0"/>
      </c:catAx>
      <c:valAx>
        <c:axId val="371370064"/>
        <c:scaling>
          <c:orientation val="minMax"/>
        </c:scaling>
        <c:delete val="1"/>
        <c:axPos val="b"/>
        <c:numFmt formatCode="0.0" sourceLinked="1"/>
        <c:majorTickMark val="out"/>
        <c:minorTickMark val="none"/>
        <c:tickLblPos val="none"/>
        <c:crossAx val="371365360"/>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lang="es-ES"/>
            </a:pPr>
            <a:r>
              <a:rPr lang="es-EC"/>
              <a:t>CONCENTRACION DE RENTABILIDAD 2009 QUITO</a:t>
            </a:r>
          </a:p>
        </c:rich>
      </c:tx>
      <c:layout>
        <c:manualLayout>
          <c:xMode val="edge"/>
          <c:yMode val="edge"/>
          <c:x val="0.17643606253815206"/>
          <c:y val="1.5467904098994602E-2"/>
        </c:manualLayout>
      </c:layout>
      <c:overlay val="0"/>
    </c:title>
    <c:autoTitleDeleted val="0"/>
    <c:plotArea>
      <c:layout/>
      <c:bar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FARMACEUTICOS'!$B$325:$B$347</c:f>
              <c:strCache>
                <c:ptCount val="23"/>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GENERICOS  GENAMERICA S.A.</c:v>
                </c:pt>
              </c:strCache>
            </c:strRef>
          </c:cat>
          <c:val>
            <c:numRef>
              <c:f>'PRODUCTOS FARMACEUTICOS'!$F$325:$F$347</c:f>
              <c:numCache>
                <c:formatCode>0.0</c:formatCode>
                <c:ptCount val="23"/>
                <c:pt idx="0">
                  <c:v>4649.7391255320035</c:v>
                </c:pt>
                <c:pt idx="1">
                  <c:v>95.963736588386553</c:v>
                </c:pt>
                <c:pt idx="2">
                  <c:v>1.3784284103654603E-3</c:v>
                </c:pt>
                <c:pt idx="3">
                  <c:v>0.3963855631967913</c:v>
                </c:pt>
                <c:pt idx="4">
                  <c:v>17.486708588529805</c:v>
                </c:pt>
                <c:pt idx="5">
                  <c:v>99.862555814185853</c:v>
                </c:pt>
                <c:pt idx="6">
                  <c:v>100.33229147053568</c:v>
                </c:pt>
                <c:pt idx="7">
                  <c:v>394.53948081403291</c:v>
                </c:pt>
                <c:pt idx="8">
                  <c:v>1.397247399689352</c:v>
                </c:pt>
                <c:pt idx="9">
                  <c:v>230.80028061372624</c:v>
                </c:pt>
                <c:pt idx="10">
                  <c:v>7.1216387833150398E-10</c:v>
                </c:pt>
                <c:pt idx="11">
                  <c:v>1.0074200799211106E-4</c:v>
                </c:pt>
                <c:pt idx="12">
                  <c:v>4.3060222622514956</c:v>
                </c:pt>
                <c:pt idx="13">
                  <c:v>0</c:v>
                </c:pt>
                <c:pt idx="14">
                  <c:v>2.8909422460928907E-2</c:v>
                </c:pt>
                <c:pt idx="15">
                  <c:v>1.1779354481974558</c:v>
                </c:pt>
                <c:pt idx="16">
                  <c:v>11.675662606632383</c:v>
                </c:pt>
                <c:pt idx="17">
                  <c:v>1.6941616231074104E-2</c:v>
                </c:pt>
                <c:pt idx="18">
                  <c:v>0</c:v>
                </c:pt>
                <c:pt idx="19">
                  <c:v>1.1545654029459904E-2</c:v>
                </c:pt>
                <c:pt idx="20">
                  <c:v>183.36126223955841</c:v>
                </c:pt>
                <c:pt idx="21">
                  <c:v>0.16798474102540906</c:v>
                </c:pt>
                <c:pt idx="22">
                  <c:v>6.1070540033225811E-2</c:v>
                </c:pt>
              </c:numCache>
            </c:numRef>
          </c:val>
        </c:ser>
        <c:dLbls>
          <c:showLegendKey val="0"/>
          <c:showVal val="0"/>
          <c:showCatName val="0"/>
          <c:showSerName val="0"/>
          <c:showPercent val="0"/>
          <c:showBubbleSize val="0"/>
        </c:dLbls>
        <c:gapWidth val="75"/>
        <c:overlap val="-25"/>
        <c:axId val="371368104"/>
        <c:axId val="371364576"/>
      </c:barChart>
      <c:catAx>
        <c:axId val="371368104"/>
        <c:scaling>
          <c:orientation val="minMax"/>
        </c:scaling>
        <c:delete val="0"/>
        <c:axPos val="l"/>
        <c:numFmt formatCode="General" sourceLinked="0"/>
        <c:majorTickMark val="none"/>
        <c:minorTickMark val="none"/>
        <c:tickLblPos val="nextTo"/>
        <c:txPr>
          <a:bodyPr/>
          <a:lstStyle/>
          <a:p>
            <a:pPr>
              <a:defRPr lang="es-ES"/>
            </a:pPr>
            <a:endParaRPr lang="es-EC"/>
          </a:p>
        </c:txPr>
        <c:crossAx val="371364576"/>
        <c:crosses val="autoZero"/>
        <c:auto val="1"/>
        <c:lblAlgn val="ctr"/>
        <c:lblOffset val="100"/>
        <c:noMultiLvlLbl val="0"/>
      </c:catAx>
      <c:valAx>
        <c:axId val="371364576"/>
        <c:scaling>
          <c:orientation val="minMax"/>
        </c:scaling>
        <c:delete val="0"/>
        <c:axPos val="b"/>
        <c:majorGridlines/>
        <c:numFmt formatCode="0.0" sourceLinked="1"/>
        <c:majorTickMark val="none"/>
        <c:minorTickMark val="none"/>
        <c:tickLblPos val="nextTo"/>
        <c:spPr>
          <a:ln w="9525">
            <a:noFill/>
          </a:ln>
        </c:spPr>
        <c:txPr>
          <a:bodyPr/>
          <a:lstStyle/>
          <a:p>
            <a:pPr>
              <a:defRPr lang="es-ES"/>
            </a:pPr>
            <a:endParaRPr lang="es-EC"/>
          </a:p>
        </c:txPr>
        <c:crossAx val="371368104"/>
        <c:crosses val="autoZero"/>
        <c:crossBetween val="between"/>
      </c:valAx>
    </c:plotArea>
    <c:plotVisOnly val="1"/>
    <c:dispBlanksAs val="gap"/>
    <c:showDLblsOverMax val="0"/>
  </c:chart>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3"/>
    </mc:Choice>
    <mc:Fallback>
      <c:style val="43"/>
    </mc:Fallback>
  </mc:AlternateContent>
  <c:chart>
    <c:title>
      <c:tx>
        <c:rich>
          <a:bodyPr/>
          <a:lstStyle/>
          <a:p>
            <a:pPr>
              <a:defRPr lang="es-ES"/>
            </a:pPr>
            <a:r>
              <a:rPr lang="en-US"/>
              <a:t>PORCENTAJE TOTAL DE CONCENTRACIÓN 2009</a:t>
            </a:r>
          </a:p>
        </c:rich>
      </c:tx>
      <c:overlay val="0"/>
    </c:title>
    <c:autoTitleDeleted val="0"/>
    <c:plotArea>
      <c:layout/>
      <c:doughnutChart>
        <c:varyColors val="1"/>
        <c:ser>
          <c:idx val="0"/>
          <c:order val="0"/>
          <c:explosion val="25"/>
          <c:dLbls>
            <c:dLbl>
              <c:idx val="1"/>
              <c:layout>
                <c:manualLayout>
                  <c:x val="-1.0731052984574101E-2"/>
                  <c:y val="-8.888888888888892E-2"/>
                </c:manualLayout>
              </c:layout>
              <c:showLegendKey val="0"/>
              <c:showVal val="0"/>
              <c:showCatName val="0"/>
              <c:showSerName val="0"/>
              <c:showPercent val="1"/>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'PRODUCTOS FARMACEUTICOS'!$I$350:$I$351</c:f>
              <c:numCache>
                <c:formatCode>0%</c:formatCode>
                <c:ptCount val="2"/>
                <c:pt idx="0">
                  <c:v>0.96921519865699901</c:v>
                </c:pt>
                <c:pt idx="1">
                  <c:v>3.0784801343000597E-2</c:v>
                </c:pt>
              </c:numCache>
            </c:numRef>
          </c:val>
        </c:ser>
        <c:dLbls>
          <c:showLegendKey val="0"/>
          <c:showVal val="0"/>
          <c:showCatName val="0"/>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6"/>
    </mc:Choice>
    <mc:Fallback>
      <c:style val="46"/>
    </mc:Fallback>
  </mc:AlternateContent>
  <c:chart>
    <c:title>
      <c:tx>
        <c:rich>
          <a:bodyPr/>
          <a:lstStyle/>
          <a:p>
            <a:pPr>
              <a:defRPr lang="es-ES"/>
            </a:pPr>
            <a:r>
              <a:rPr lang="es-ES"/>
              <a:t>PORCENTAJE DE DISTRIBUIDORAS</a:t>
            </a:r>
            <a:r>
              <a:rPr lang="es-ES" baseline="0"/>
              <a:t> FAMACEUTICAS QUITO</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FARMACEUTICOS'!$B$325:$B$347</c:f>
              <c:strCache>
                <c:ptCount val="23"/>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GENERICOS  GENAMERICA S.A.</c:v>
                </c:pt>
              </c:strCache>
            </c:strRef>
          </c:cat>
          <c:val>
            <c:numRef>
              <c:f>'PRODUCTOS FARMACEUTICOS'!$G$325:$G$347</c:f>
              <c:numCache>
                <c:formatCode>0.0</c:formatCode>
                <c:ptCount val="23"/>
                <c:pt idx="0">
                  <c:v>15.687782891209004</c:v>
                </c:pt>
                <c:pt idx="1">
                  <c:v>6.2345923821712921</c:v>
                </c:pt>
                <c:pt idx="2">
                  <c:v>0.11333829138799498</c:v>
                </c:pt>
                <c:pt idx="3">
                  <c:v>0.83496795006725277</c:v>
                </c:pt>
                <c:pt idx="4">
                  <c:v>-2.9129450344343431</c:v>
                </c:pt>
                <c:pt idx="5">
                  <c:v>14.610812047227412</c:v>
                </c:pt>
                <c:pt idx="6">
                  <c:v>-8.6283220576553568</c:v>
                </c:pt>
                <c:pt idx="7">
                  <c:v>-5.0138936311800855</c:v>
                </c:pt>
                <c:pt idx="8">
                  <c:v>0.82089822628053244</c:v>
                </c:pt>
                <c:pt idx="9">
                  <c:v>63.064906591768349</c:v>
                </c:pt>
                <c:pt idx="10">
                  <c:v>0</c:v>
                </c:pt>
                <c:pt idx="11">
                  <c:v>1.700053882396621E-2</c:v>
                </c:pt>
                <c:pt idx="12">
                  <c:v>1.3104148608098471</c:v>
                </c:pt>
                <c:pt idx="13">
                  <c:v>-3.3324959678782897E-3</c:v>
                </c:pt>
                <c:pt idx="14">
                  <c:v>0.52950626264243483</c:v>
                </c:pt>
                <c:pt idx="15">
                  <c:v>0.88937668350139298</c:v>
                </c:pt>
                <c:pt idx="16">
                  <c:v>2.0605245062246889</c:v>
                </c:pt>
                <c:pt idx="17">
                  <c:v>0.13071765037553801</c:v>
                </c:pt>
                <c:pt idx="18">
                  <c:v>1.9429401508569104</c:v>
                </c:pt>
                <c:pt idx="19">
                  <c:v>7.2288764787034318E-2</c:v>
                </c:pt>
                <c:pt idx="20">
                  <c:v>8.4372902632456128</c:v>
                </c:pt>
                <c:pt idx="21">
                  <c:v>8.5169297351463755E-3</c:v>
                </c:pt>
                <c:pt idx="22">
                  <c:v>-0.20738177187680501</c:v>
                </c:pt>
              </c:numCache>
            </c:numRef>
          </c:val>
        </c:ser>
        <c:dLbls>
          <c:showLegendKey val="0"/>
          <c:showVal val="0"/>
          <c:showCatName val="0"/>
          <c:showSerName val="0"/>
          <c:showPercent val="0"/>
          <c:showBubbleSize val="0"/>
        </c:dLbls>
        <c:gapWidth val="0"/>
        <c:gapDepth val="0"/>
        <c:shape val="cylinder"/>
        <c:axId val="371368888"/>
        <c:axId val="371369280"/>
        <c:axId val="0"/>
      </c:bar3DChart>
      <c:catAx>
        <c:axId val="371368888"/>
        <c:scaling>
          <c:orientation val="minMax"/>
        </c:scaling>
        <c:delete val="0"/>
        <c:axPos val="l"/>
        <c:numFmt formatCode="General" sourceLinked="0"/>
        <c:majorTickMark val="none"/>
        <c:minorTickMark val="none"/>
        <c:tickLblPos val="nextTo"/>
        <c:txPr>
          <a:bodyPr/>
          <a:lstStyle/>
          <a:p>
            <a:pPr>
              <a:defRPr lang="es-ES"/>
            </a:pPr>
            <a:endParaRPr lang="es-EC"/>
          </a:p>
        </c:txPr>
        <c:crossAx val="371369280"/>
        <c:crosses val="autoZero"/>
        <c:auto val="1"/>
        <c:lblAlgn val="ctr"/>
        <c:lblOffset val="100"/>
        <c:noMultiLvlLbl val="0"/>
      </c:catAx>
      <c:valAx>
        <c:axId val="371369280"/>
        <c:scaling>
          <c:orientation val="minMax"/>
        </c:scaling>
        <c:delete val="0"/>
        <c:axPos val="b"/>
        <c:numFmt formatCode="0.0" sourceLinked="1"/>
        <c:majorTickMark val="out"/>
        <c:minorTickMark val="none"/>
        <c:tickLblPos val="none"/>
        <c:txPr>
          <a:bodyPr/>
          <a:lstStyle/>
          <a:p>
            <a:pPr>
              <a:defRPr lang="es-ES"/>
            </a:pPr>
            <a:endParaRPr lang="es-EC"/>
          </a:p>
        </c:txPr>
        <c:crossAx val="371368888"/>
        <c:crosses val="autoZero"/>
        <c:crossBetween val="between"/>
      </c:valAx>
    </c:plotArea>
    <c:plotVisOnly val="1"/>
    <c:dispBlanksAs val="gap"/>
    <c:showDLblsOverMax val="0"/>
  </c:chart>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RENTABILIDAD 2010 QUITO</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5.6818173344939611E-2"/>
                  <c:y val="5.0987890376035724E-3"/>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5.1136356010445617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5.8836840914234009E-2"/>
                  <c:y val="-1.1168517543435224E-16"/>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4.9785019235121124E-2"/>
                  <c:y val="1.1168517543435224E-16"/>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6.0606051567935512E-2"/>
                  <c:y val="7.648183556405261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4.5454538675951603E-2"/>
                  <c:y val="-2.5493945188018014E-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3.4090904006963803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3.7878782229959822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4.3560599564453704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31818177073166221"/>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4310930074677626E-2"/>
                  <c:y val="3.0459945172098715E-3"/>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5.4310930074677626E-2"/>
                  <c:y val="0"/>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5.3030295121943724E-2"/>
                  <c:y val="-7.6481835564053517E-3"/>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5.6573885494455696E-2"/>
                  <c:y val="0"/>
                </c:manualLayout>
              </c:layout>
              <c:showLegendKey val="0"/>
              <c:showVal val="1"/>
              <c:showCatName val="0"/>
              <c:showSerName val="0"/>
              <c:showPercent val="0"/>
              <c:showBubbleSize val="0"/>
              <c:extLst>
                <c:ext xmlns:c15="http://schemas.microsoft.com/office/drawing/2012/chart" uri="{CE6537A1-D6FC-4f65-9D91-7224C49458BB}"/>
              </c:extLst>
            </c:dLbl>
            <c:dLbl>
              <c:idx val="14"/>
              <c:layout>
                <c:manualLayout>
                  <c:x val="6.2499990679433605E-2"/>
                  <c:y val="0"/>
                </c:manualLayout>
              </c:layout>
              <c:showLegendKey val="0"/>
              <c:showVal val="1"/>
              <c:showCatName val="0"/>
              <c:showSerName val="0"/>
              <c:showPercent val="0"/>
              <c:showBubbleSize val="0"/>
              <c:extLst>
                <c:ext xmlns:c15="http://schemas.microsoft.com/office/drawing/2012/chart" uri="{CE6537A1-D6FC-4f65-9D91-7224C49458BB}"/>
              </c:extLst>
            </c:dLbl>
            <c:dLbl>
              <c:idx val="15"/>
              <c:layout>
                <c:manualLayout>
                  <c:x val="5.8712112456437718E-2"/>
                  <c:y val="4.6738359585848285E-17"/>
                </c:manualLayout>
              </c:layout>
              <c:showLegendKey val="0"/>
              <c:showVal val="1"/>
              <c:showCatName val="0"/>
              <c:showSerName val="0"/>
              <c:showPercent val="0"/>
              <c:showBubbleSize val="0"/>
              <c:extLst>
                <c:ext xmlns:c15="http://schemas.microsoft.com/office/drawing/2012/chart" uri="{CE6537A1-D6FC-4f65-9D91-7224C49458BB}"/>
              </c:extLst>
            </c:dLbl>
            <c:dLbl>
              <c:idx val="16"/>
              <c:layout>
                <c:manualLayout>
                  <c:x val="5.6818173344939611E-2"/>
                  <c:y val="0"/>
                </c:manualLayout>
              </c:layout>
              <c:showLegendKey val="0"/>
              <c:showVal val="1"/>
              <c:showCatName val="0"/>
              <c:showSerName val="0"/>
              <c:showPercent val="0"/>
              <c:showBubbleSize val="0"/>
              <c:extLst>
                <c:ext xmlns:c15="http://schemas.microsoft.com/office/drawing/2012/chart" uri="{CE6537A1-D6FC-4f65-9D91-7224C49458BB}"/>
              </c:extLst>
            </c:dLbl>
            <c:dLbl>
              <c:idx val="17"/>
              <c:layout>
                <c:manualLayout>
                  <c:x val="5.6573885494455696E-2"/>
                  <c:y val="0"/>
                </c:manualLayout>
              </c:layout>
              <c:showLegendKey val="0"/>
              <c:showVal val="1"/>
              <c:showCatName val="0"/>
              <c:showSerName val="0"/>
              <c:showPercent val="0"/>
              <c:showBubbleSize val="0"/>
              <c:extLst>
                <c:ext xmlns:c15="http://schemas.microsoft.com/office/drawing/2012/chart" uri="{CE6537A1-D6FC-4f65-9D91-7224C49458BB}"/>
              </c:extLst>
            </c:dLbl>
            <c:dLbl>
              <c:idx val="18"/>
              <c:layout>
                <c:manualLayout>
                  <c:x val="5.3030295121943724E-2"/>
                  <c:y val="0"/>
                </c:manualLayout>
              </c:layout>
              <c:showLegendKey val="0"/>
              <c:showVal val="1"/>
              <c:showCatName val="0"/>
              <c:showSerName val="0"/>
              <c:showPercent val="0"/>
              <c:showBubbleSize val="0"/>
              <c:extLst>
                <c:ext xmlns:c15="http://schemas.microsoft.com/office/drawing/2012/chart" uri="{CE6537A1-D6FC-4f65-9D91-7224C49458BB}"/>
              </c:extLst>
            </c:dLbl>
            <c:dLbl>
              <c:idx val="19"/>
              <c:layout>
                <c:manualLayout>
                  <c:x val="5.6573885494455696E-2"/>
                  <c:y val="0"/>
                </c:manualLayout>
              </c:layout>
              <c:showLegendKey val="0"/>
              <c:showVal val="1"/>
              <c:showCatName val="0"/>
              <c:showSerName val="0"/>
              <c:showPercent val="0"/>
              <c:showBubbleSize val="0"/>
              <c:extLst>
                <c:ext xmlns:c15="http://schemas.microsoft.com/office/drawing/2012/chart" uri="{CE6537A1-D6FC-4f65-9D91-7224C49458BB}"/>
              </c:extLst>
            </c:dLbl>
            <c:dLbl>
              <c:idx val="20"/>
              <c:layout>
                <c:manualLayout>
                  <c:x val="5.4924234233441824E-2"/>
                  <c:y val="-2.3369179792924143E-17"/>
                </c:manualLayout>
              </c:layout>
              <c:showLegendKey val="0"/>
              <c:showVal val="1"/>
              <c:showCatName val="0"/>
              <c:showSerName val="0"/>
              <c:showPercent val="0"/>
              <c:showBubbleSize val="0"/>
              <c:extLst>
                <c:ext xmlns:c15="http://schemas.microsoft.com/office/drawing/2012/chart" uri="{CE6537A1-D6FC-4f65-9D91-7224C49458BB}"/>
              </c:extLst>
            </c:dLbl>
            <c:dLbl>
              <c:idx val="21"/>
              <c:layout>
                <c:manualLayout>
                  <c:x val="5.4310930074677626E-2"/>
                  <c:y val="0"/>
                </c:manualLayout>
              </c:layout>
              <c:showLegendKey val="0"/>
              <c:showVal val="1"/>
              <c:showCatName val="0"/>
              <c:showSerName val="0"/>
              <c:showPercent val="0"/>
              <c:showBubbleSize val="0"/>
              <c:extLst>
                <c:ext xmlns:c15="http://schemas.microsoft.com/office/drawing/2012/chart" uri="{CE6537A1-D6FC-4f65-9D91-7224C49458BB}"/>
              </c:extLst>
            </c:dLbl>
            <c:dLbl>
              <c:idx val="22"/>
              <c:layout>
                <c:manualLayout>
                  <c:x val="5.6818173344939611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FARMACEUTICOS'!$B$325:$B$347</c:f>
              <c:strCache>
                <c:ptCount val="23"/>
                <c:pt idx="0">
                  <c:v>PRODUCTOS  SANCELA DEL ECUADOR</c:v>
                </c:pt>
                <c:pt idx="1">
                  <c:v>MEDICAMENTA ECUATORIANA S.A.</c:v>
                </c:pt>
                <c:pt idx="2">
                  <c:v>BASELPHARMA S.A.</c:v>
                </c:pt>
                <c:pt idx="3">
                  <c:v>BANCO QUIRURGICO BANCOLOGY</c:v>
                </c:pt>
                <c:pt idx="4">
                  <c:v>ABL PHARMA ECUADOR</c:v>
                </c:pt>
                <c:pt idx="5">
                  <c:v>BEIERSDORP S.A.</c:v>
                </c:pt>
                <c:pt idx="6">
                  <c:v>CORPORACION MAGMA</c:v>
                </c:pt>
                <c:pt idx="7">
                  <c:v>MERK SHARP &amp; COHME CORPORATION</c:v>
                </c:pt>
                <c:pt idx="8">
                  <c:v>SCHERING PLOUG DEL ECUADOR S.A.</c:v>
                </c:pt>
                <c:pt idx="9">
                  <c:v>PROVEFARMA S.A.</c:v>
                </c:pt>
                <c:pt idx="10">
                  <c:v>MAXIMEDICAL CIA LTDA</c:v>
                </c:pt>
                <c:pt idx="11">
                  <c:v>IMPOTADORA IMFARMEDIC</c:v>
                </c:pt>
                <c:pt idx="12">
                  <c:v>INTERMEDICA</c:v>
                </c:pt>
                <c:pt idx="13">
                  <c:v>IMPORTACIONES  IMFAREC</c:v>
                </c:pt>
                <c:pt idx="14">
                  <c:v>BETAPHARMA S.A.</c:v>
                </c:pt>
                <c:pt idx="15">
                  <c:v>GARCOS S.A.</c:v>
                </c:pt>
                <c:pt idx="16">
                  <c:v>BLENASTOR C.A.</c:v>
                </c:pt>
                <c:pt idx="17">
                  <c:v>CASA INDUSTRIAL FARMACEUTICA S.A.</c:v>
                </c:pt>
                <c:pt idx="18">
                  <c:v>FARMACID</c:v>
                </c:pt>
                <c:pt idx="19">
                  <c:v>FORNAX PHARMACEUTICALS CIA. LTDA.</c:v>
                </c:pt>
                <c:pt idx="20">
                  <c:v>GLAXOSMITHKLIVE  ECUADOR S.A</c:v>
                </c:pt>
                <c:pt idx="21">
                  <c:v>GENERICOS NACIONALES GENA S.A.</c:v>
                </c:pt>
                <c:pt idx="22">
                  <c:v>GENERICOS  GENAMERICA S.A.</c:v>
                </c:pt>
              </c:strCache>
            </c:strRef>
          </c:cat>
          <c:val>
            <c:numRef>
              <c:f>'PRODUCTOS FARMACEUTICOS'!$H$325:$H$347</c:f>
              <c:numCache>
                <c:formatCode>0.0</c:formatCode>
                <c:ptCount val="23"/>
                <c:pt idx="0">
                  <c:v>246.10653204170853</c:v>
                </c:pt>
                <c:pt idx="1">
                  <c:v>38.870142171828306</c:v>
                </c:pt>
                <c:pt idx="2">
                  <c:v>1.2845568294750207E-2</c:v>
                </c:pt>
                <c:pt idx="3">
                  <c:v>0.69717147763951459</c:v>
                </c:pt>
                <c:pt idx="4">
                  <c:v>8.4852487736357549</c:v>
                </c:pt>
                <c:pt idx="5">
                  <c:v>213.47582867940559</c:v>
                </c:pt>
                <c:pt idx="6">
                  <c:v>74.447941530622217</c:v>
                </c:pt>
                <c:pt idx="7">
                  <c:v>25.139129344788209</c:v>
                </c:pt>
                <c:pt idx="8">
                  <c:v>0.67387389791052343</c:v>
                </c:pt>
                <c:pt idx="9">
                  <c:v>3977.1824434284731</c:v>
                </c:pt>
                <c:pt idx="10">
                  <c:v>0</c:v>
                </c:pt>
                <c:pt idx="11">
                  <c:v>2.8901832030518314E-4</c:v>
                </c:pt>
                <c:pt idx="12">
                  <c:v>1.7171871074312921</c:v>
                </c:pt>
                <c:pt idx="13">
                  <c:v>1.1105529375925113E-5</c:v>
                </c:pt>
                <c:pt idx="14">
                  <c:v>0.28037688217756129</c:v>
                </c:pt>
                <c:pt idx="15">
                  <c:v>0.79099088515593596</c:v>
                </c:pt>
                <c:pt idx="16">
                  <c:v>4.245761240752481</c:v>
                </c:pt>
                <c:pt idx="17">
                  <c:v>1.7087104119701303E-2</c:v>
                </c:pt>
                <c:pt idx="18">
                  <c:v>3.7750164298118571</c:v>
                </c:pt>
                <c:pt idx="19">
                  <c:v>5.2256655144351724E-3</c:v>
                </c:pt>
                <c:pt idx="20">
                  <c:v>71.187866986259209</c:v>
                </c:pt>
                <c:pt idx="21">
                  <c:v>7.2538092113420653E-5</c:v>
                </c:pt>
                <c:pt idx="22">
                  <c:v>4.3007199306763312E-2</c:v>
                </c:pt>
              </c:numCache>
            </c:numRef>
          </c:val>
        </c:ser>
        <c:dLbls>
          <c:showLegendKey val="0"/>
          <c:showVal val="0"/>
          <c:showCatName val="0"/>
          <c:showSerName val="0"/>
          <c:showPercent val="0"/>
          <c:showBubbleSize val="0"/>
        </c:dLbls>
        <c:gapWidth val="75"/>
        <c:shape val="box"/>
        <c:axId val="371375944"/>
        <c:axId val="371370456"/>
        <c:axId val="0"/>
      </c:bar3DChart>
      <c:catAx>
        <c:axId val="371375944"/>
        <c:scaling>
          <c:orientation val="minMax"/>
        </c:scaling>
        <c:delete val="0"/>
        <c:axPos val="l"/>
        <c:numFmt formatCode="General" sourceLinked="0"/>
        <c:majorTickMark val="none"/>
        <c:minorTickMark val="none"/>
        <c:tickLblPos val="nextTo"/>
        <c:txPr>
          <a:bodyPr/>
          <a:lstStyle/>
          <a:p>
            <a:pPr>
              <a:defRPr lang="es-ES"/>
            </a:pPr>
            <a:endParaRPr lang="es-EC"/>
          </a:p>
        </c:txPr>
        <c:crossAx val="371370456"/>
        <c:crosses val="autoZero"/>
        <c:auto val="1"/>
        <c:lblAlgn val="ctr"/>
        <c:lblOffset val="100"/>
        <c:noMultiLvlLbl val="0"/>
      </c:catAx>
      <c:valAx>
        <c:axId val="371370456"/>
        <c:scaling>
          <c:orientation val="minMax"/>
        </c:scaling>
        <c:delete val="0"/>
        <c:axPos val="b"/>
        <c:majorGridlines/>
        <c:numFmt formatCode="0.0" sourceLinked="1"/>
        <c:majorTickMark val="none"/>
        <c:minorTickMark val="none"/>
        <c:tickLblPos val="nextTo"/>
        <c:spPr>
          <a:ln w="9525">
            <a:noFill/>
          </a:ln>
        </c:spPr>
        <c:txPr>
          <a:bodyPr/>
          <a:lstStyle/>
          <a:p>
            <a:pPr>
              <a:defRPr lang="es-ES"/>
            </a:pPr>
            <a:endParaRPr lang="es-EC"/>
          </a:p>
        </c:txPr>
        <c:crossAx val="371375944"/>
        <c:crosses val="autoZero"/>
        <c:crossBetween val="between"/>
      </c:valAx>
    </c:plotArea>
    <c:plotVisOnly val="1"/>
    <c:dispBlanksAs val="gap"/>
    <c:showDLblsOverMax val="0"/>
  </c:chart>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7"/>
    </mc:Choice>
    <mc:Fallback>
      <c:style val="47"/>
    </mc:Fallback>
  </mc:AlternateContent>
  <c:chart>
    <c:title>
      <c:tx>
        <c:rich>
          <a:bodyPr/>
          <a:lstStyle/>
          <a:p>
            <a:pPr>
              <a:defRPr lang="es-ES"/>
            </a:pPr>
            <a:r>
              <a:rPr lang="en-US"/>
              <a:t>PORCENTAJE TOTAL DE CONCENTRACIÓN DE RENTABILIDAD QUITO 2010</a:t>
            </a:r>
          </a:p>
        </c:rich>
      </c:tx>
      <c:overlay val="0"/>
    </c:title>
    <c:autoTitleDeleted val="0"/>
    <c:plotArea>
      <c:layout/>
      <c:doughnutChart>
        <c:varyColors val="1"/>
        <c:ser>
          <c:idx val="0"/>
          <c:order val="0"/>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'PRODUCTOS FARMACEUTICOS'!$K$350:$K$351</c:f>
              <c:numCache>
                <c:formatCode>0%</c:formatCode>
                <c:ptCount val="2"/>
                <c:pt idx="0">
                  <c:v>0.87191263214154724</c:v>
                </c:pt>
                <c:pt idx="1">
                  <c:v>0.12808736785845401</c:v>
                </c:pt>
              </c:numCache>
            </c:numRef>
          </c:val>
        </c:ser>
        <c:dLbls>
          <c:showLegendKey val="0"/>
          <c:showVal val="0"/>
          <c:showCatName val="0"/>
          <c:showSerName val="0"/>
          <c:showPercent val="1"/>
          <c:showBubbleSize val="0"/>
          <c:showLeaderLines val="0"/>
        </c:dLbls>
        <c:firstSliceAng val="0"/>
        <c:holeSize val="50"/>
      </c:doughnutChart>
    </c:plotArea>
    <c:legend>
      <c:legendPos val="t"/>
      <c:overlay val="0"/>
      <c:txPr>
        <a:bodyPr/>
        <a:lstStyle/>
        <a:p>
          <a:pPr rtl="0">
            <a:defRPr lang="es-ES"/>
          </a:pPr>
          <a:endParaRPr lang="es-EC"/>
        </a:p>
      </c:txPr>
    </c:legend>
    <c:plotVisOnly val="1"/>
    <c:dispBlanksAs val="zero"/>
    <c:showDLblsOverMax val="0"/>
  </c:chart>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CONCENTRACION RENTABILIDAD 2009</a:t>
            </a:r>
          </a:p>
        </c:rich>
      </c:tx>
      <c:overlay val="0"/>
    </c:title>
    <c:autoTitleDeleted val="0"/>
    <c:view3D>
      <c:rotX val="15"/>
      <c:rotY val="20"/>
      <c:rAngAx val="0"/>
    </c:view3D>
    <c:floor>
      <c:thickness val="0"/>
    </c:floor>
    <c:sideWall>
      <c:thickness val="0"/>
    </c:sideWall>
    <c:backWall>
      <c:thickness val="0"/>
    </c:backWall>
    <c:plotArea>
      <c:layout>
        <c:manualLayout>
          <c:layoutTarget val="inner"/>
          <c:xMode val="edge"/>
          <c:yMode val="edge"/>
          <c:x val="0.14283437830033605"/>
          <c:y val="6.3408047445396812E-2"/>
          <c:w val="0.83622492707759921"/>
          <c:h val="0.61632547999243303"/>
        </c:manualLayout>
      </c:layout>
      <c:bar3DChart>
        <c:barDir val="col"/>
        <c:grouping val="standar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FARMACEUTICOS'!$B$424:$B$434</c:f>
              <c:strCache>
                <c:ptCount val="11"/>
                <c:pt idx="0">
                  <c:v> FARMACEUTICA DIFARE </c:v>
                </c:pt>
                <c:pt idx="1">
                  <c:v>CHEMEQUIP INDUSTRIAS </c:v>
                </c:pt>
                <c:pt idx="2">
                  <c:v>BAENA FARMAS S.A </c:v>
                </c:pt>
                <c:pt idx="3">
                  <c:v>PROVENCO</c:v>
                </c:pt>
                <c:pt idx="4">
                  <c:v> INFABI</c:v>
                </c:pt>
                <c:pt idx="5">
                  <c:v>LETERARGO DEL ECUADOR </c:v>
                </c:pt>
                <c:pt idx="6">
                  <c:v>KIMTEMEN </c:v>
                </c:pt>
                <c:pt idx="7">
                  <c:v>BAYER</c:v>
                </c:pt>
                <c:pt idx="8">
                  <c:v>FRISONEX  FARMACEUTICA</c:v>
                </c:pt>
                <c:pt idx="9">
                  <c:v>RASERPHARM </c:v>
                </c:pt>
                <c:pt idx="10">
                  <c:v>BRISTOL MYERS SQUIBB </c:v>
                </c:pt>
              </c:strCache>
            </c:strRef>
          </c:cat>
          <c:val>
            <c:numRef>
              <c:f>'PRODUCTOS FARMACEUTICOS'!$E$424:$E$434</c:f>
              <c:numCache>
                <c:formatCode>0.00</c:formatCode>
                <c:ptCount val="11"/>
                <c:pt idx="0">
                  <c:v>50.869839686007943</c:v>
                </c:pt>
                <c:pt idx="1">
                  <c:v>0.30580484654543411</c:v>
                </c:pt>
                <c:pt idx="2">
                  <c:v>0.92608008789062279</c:v>
                </c:pt>
                <c:pt idx="3">
                  <c:v>0.91047506851238702</c:v>
                </c:pt>
                <c:pt idx="4">
                  <c:v>-3.1829736565694571</c:v>
                </c:pt>
                <c:pt idx="5">
                  <c:v>11.245840169962808</c:v>
                </c:pt>
                <c:pt idx="6">
                  <c:v>0</c:v>
                </c:pt>
                <c:pt idx="7">
                  <c:v>0</c:v>
                </c:pt>
                <c:pt idx="8">
                  <c:v>4.1011970556592567</c:v>
                </c:pt>
                <c:pt idx="9">
                  <c:v>0</c:v>
                </c:pt>
                <c:pt idx="10">
                  <c:v>-2.0141607429970838</c:v>
                </c:pt>
              </c:numCache>
            </c:numRef>
          </c:val>
        </c:ser>
        <c:dLbls>
          <c:showLegendKey val="0"/>
          <c:showVal val="0"/>
          <c:showCatName val="0"/>
          <c:showSerName val="0"/>
          <c:showPercent val="0"/>
          <c:showBubbleSize val="0"/>
        </c:dLbls>
        <c:gapWidth val="150"/>
        <c:shape val="box"/>
        <c:axId val="371381824"/>
        <c:axId val="371381040"/>
        <c:axId val="370777176"/>
      </c:bar3DChart>
      <c:catAx>
        <c:axId val="371381824"/>
        <c:scaling>
          <c:orientation val="minMax"/>
        </c:scaling>
        <c:delete val="0"/>
        <c:axPos val="b"/>
        <c:numFmt formatCode="General" sourceLinked="0"/>
        <c:majorTickMark val="none"/>
        <c:minorTickMark val="none"/>
        <c:tickLblPos val="nextTo"/>
        <c:txPr>
          <a:bodyPr/>
          <a:lstStyle/>
          <a:p>
            <a:pPr>
              <a:defRPr lang="es-ES"/>
            </a:pPr>
            <a:endParaRPr lang="es-EC"/>
          </a:p>
        </c:txPr>
        <c:crossAx val="371381040"/>
        <c:crosses val="autoZero"/>
        <c:auto val="1"/>
        <c:lblAlgn val="ctr"/>
        <c:lblOffset val="100"/>
        <c:noMultiLvlLbl val="0"/>
      </c:catAx>
      <c:valAx>
        <c:axId val="371381040"/>
        <c:scaling>
          <c:orientation val="minMax"/>
        </c:scaling>
        <c:delete val="0"/>
        <c:axPos val="l"/>
        <c:majorGridlines/>
        <c:numFmt formatCode="0.00" sourceLinked="1"/>
        <c:majorTickMark val="none"/>
        <c:minorTickMark val="none"/>
        <c:tickLblPos val="nextTo"/>
        <c:txPr>
          <a:bodyPr/>
          <a:lstStyle/>
          <a:p>
            <a:pPr>
              <a:defRPr lang="es-ES"/>
            </a:pPr>
            <a:endParaRPr lang="es-EC"/>
          </a:p>
        </c:txPr>
        <c:crossAx val="371381824"/>
        <c:crosses val="autoZero"/>
        <c:crossBetween val="between"/>
      </c:valAx>
      <c:serAx>
        <c:axId val="370777176"/>
        <c:scaling>
          <c:orientation val="minMax"/>
        </c:scaling>
        <c:delete val="1"/>
        <c:axPos val="b"/>
        <c:majorTickMark val="none"/>
        <c:minorTickMark val="none"/>
        <c:tickLblPos val="none"/>
        <c:crossAx val="371381040"/>
        <c:crosses val="autoZero"/>
      </c:ser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plotArea>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AÑO 2009</a:t>
            </a:r>
          </a:p>
        </c:rich>
      </c:tx>
      <c:overlay val="0"/>
    </c:title>
    <c:autoTitleDeleted val="0"/>
    <c:view3D>
      <c:rotX val="15"/>
      <c:rotY val="20"/>
      <c:rAngAx val="1"/>
    </c:view3D>
    <c:floor>
      <c:thickness val="0"/>
    </c:floor>
    <c:sideWall>
      <c:thickness val="0"/>
    </c:sideWall>
    <c:backWall>
      <c:thickness val="0"/>
    </c:backWall>
    <c:plotArea>
      <c:layout/>
      <c:bar3DChart>
        <c:barDir val="bar"/>
        <c:grouping val="stacked"/>
        <c:varyColors val="0"/>
        <c:ser>
          <c:idx val="0"/>
          <c:order val="0"/>
          <c:invertIfNegative val="0"/>
          <c:dLbls>
            <c:dLbl>
              <c:idx val="0"/>
              <c:layout>
                <c:manualLayout>
                  <c:x val="0.31168478285764234"/>
                  <c:y val="-1.8018095170127906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9.7689748667706425E-2"/>
                  <c:y val="-7.2072072072072108E-3"/>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0825080257772902"/>
                  <c:y val="-3.6036036036036015E-3"/>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8.1848167802672997E-2"/>
                  <c:y val="-3.6036036036036015E-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9.5049485190201108E-2"/>
                  <c:y val="-7.2072072072071605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712869475768422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8.7128694757684227E-2"/>
                  <c:y val="-3.6036036036036015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9.5049485190201108E-2"/>
                  <c:y val="-3.6036036036036015E-3"/>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9.240922171269518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240922171269518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ACTIVOS!$B$135:$B$144</c:f>
              <c:strCache>
                <c:ptCount val="10"/>
                <c:pt idx="0">
                  <c:v>SALUDCOOP</c:v>
                </c:pt>
                <c:pt idx="1">
                  <c:v>CENTRO  FETALPRONATAL </c:v>
                </c:pt>
                <c:pt idx="2">
                  <c:v>CLINICA PANAMERICANA </c:v>
                </c:pt>
                <c:pt idx="3">
                  <c:v>CLINICA SANTAMARIA</c:v>
                </c:pt>
                <c:pt idx="4">
                  <c:v>CLINICA SAN LUIS </c:v>
                </c:pt>
                <c:pt idx="5">
                  <c:v>CLINICA PARKER</c:v>
                </c:pt>
                <c:pt idx="6">
                  <c:v>INREUMI</c:v>
                </c:pt>
                <c:pt idx="7">
                  <c:v>CLIMEDINOR</c:v>
                </c:pt>
                <c:pt idx="8">
                  <c:v>COMPARASAD </c:v>
                </c:pt>
                <c:pt idx="9">
                  <c:v>CERNIMED</c:v>
                </c:pt>
              </c:strCache>
            </c:strRef>
          </c:cat>
          <c:val>
            <c:numRef>
              <c:f>ACTIVOS!$G$135:$G$144</c:f>
              <c:numCache>
                <c:formatCode>0.00</c:formatCode>
                <c:ptCount val="10"/>
                <c:pt idx="0">
                  <c:v>0.83122485713087046</c:v>
                </c:pt>
                <c:pt idx="1">
                  <c:v>2.2455589993030708E-2</c:v>
                </c:pt>
                <c:pt idx="2">
                  <c:v>0</c:v>
                </c:pt>
                <c:pt idx="3">
                  <c:v>0.105652239511864</c:v>
                </c:pt>
                <c:pt idx="4">
                  <c:v>3.2747148133010617E-3</c:v>
                </c:pt>
                <c:pt idx="5">
                  <c:v>0</c:v>
                </c:pt>
                <c:pt idx="6">
                  <c:v>1.5876941419257502E-2</c:v>
                </c:pt>
                <c:pt idx="7">
                  <c:v>0</c:v>
                </c:pt>
                <c:pt idx="8">
                  <c:v>3.1784550514846908E-3</c:v>
                </c:pt>
                <c:pt idx="9">
                  <c:v>1.8337202080193498E-2</c:v>
                </c:pt>
              </c:numCache>
            </c:numRef>
          </c:val>
        </c:ser>
        <c:dLbls>
          <c:showLegendKey val="0"/>
          <c:showVal val="0"/>
          <c:showCatName val="0"/>
          <c:showSerName val="0"/>
          <c:showPercent val="0"/>
          <c:showBubbleSize val="0"/>
        </c:dLbls>
        <c:gapWidth val="55"/>
        <c:gapDepth val="55"/>
        <c:shape val="box"/>
        <c:axId val="325765472"/>
        <c:axId val="325770960"/>
        <c:axId val="0"/>
      </c:bar3DChart>
      <c:catAx>
        <c:axId val="325765472"/>
        <c:scaling>
          <c:orientation val="minMax"/>
        </c:scaling>
        <c:delete val="0"/>
        <c:axPos val="l"/>
        <c:title>
          <c:tx>
            <c:rich>
              <a:bodyPr/>
              <a:lstStyle/>
              <a:p>
                <a:pPr>
                  <a:defRPr lang="es-ES"/>
                </a:pPr>
                <a:r>
                  <a:rPr lang="en-US"/>
                  <a:t>CLINICAS Y HOSPITALES</a:t>
                </a:r>
              </a:p>
            </c:rich>
          </c:tx>
          <c:overlay val="0"/>
        </c:title>
        <c:numFmt formatCode="General" sourceLinked="0"/>
        <c:majorTickMark val="none"/>
        <c:minorTickMark val="none"/>
        <c:tickLblPos val="nextTo"/>
        <c:txPr>
          <a:bodyPr/>
          <a:lstStyle/>
          <a:p>
            <a:pPr>
              <a:defRPr lang="es-ES"/>
            </a:pPr>
            <a:endParaRPr lang="es-EC"/>
          </a:p>
        </c:txPr>
        <c:crossAx val="325770960"/>
        <c:crosses val="autoZero"/>
        <c:auto val="1"/>
        <c:lblAlgn val="ctr"/>
        <c:lblOffset val="100"/>
        <c:noMultiLvlLbl val="0"/>
      </c:catAx>
      <c:valAx>
        <c:axId val="325770960"/>
        <c:scaling>
          <c:orientation val="minMax"/>
        </c:scaling>
        <c:delete val="0"/>
        <c:axPos val="b"/>
        <c:majorGridlines/>
        <c:title>
          <c:tx>
            <c:rich>
              <a:bodyPr/>
              <a:lstStyle/>
              <a:p>
                <a:pPr>
                  <a:defRPr lang="es-ES"/>
                </a:pPr>
                <a:r>
                  <a:rPr lang="en-US"/>
                  <a:t>PORCENTAJE</a:t>
                </a:r>
              </a:p>
            </c:rich>
          </c:tx>
          <c:overlay val="0"/>
        </c:title>
        <c:numFmt formatCode="0.00" sourceLinked="1"/>
        <c:majorTickMark val="none"/>
        <c:minorTickMark val="none"/>
        <c:tickLblPos val="nextTo"/>
        <c:txPr>
          <a:bodyPr/>
          <a:lstStyle/>
          <a:p>
            <a:pPr>
              <a:defRPr lang="es-ES"/>
            </a:pPr>
            <a:endParaRPr lang="es-EC"/>
          </a:p>
        </c:txPr>
        <c:crossAx val="325765472"/>
        <c:crosses val="autoZero"/>
        <c:crossBetween val="between"/>
      </c:valAx>
    </c:plotArea>
    <c:plotVisOnly val="1"/>
    <c:dispBlanksAs val="gap"/>
    <c:showDLblsOverMax val="0"/>
  </c:chart>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RENTABILIDAD SALUD 2009 </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FARMACEUTICOS'!$B$424:$B$434</c:f>
              <c:strCache>
                <c:ptCount val="11"/>
                <c:pt idx="0">
                  <c:v> FARMACEUTICA DIFARE </c:v>
                </c:pt>
                <c:pt idx="1">
                  <c:v>CHEMEQUIP INDUSTRIAS </c:v>
                </c:pt>
                <c:pt idx="2">
                  <c:v>BAENA FARMAS S.A </c:v>
                </c:pt>
                <c:pt idx="3">
                  <c:v>PROVENCO</c:v>
                </c:pt>
                <c:pt idx="4">
                  <c:v> INFABI</c:v>
                </c:pt>
                <c:pt idx="5">
                  <c:v>LETERARGO DEL ECUADOR </c:v>
                </c:pt>
                <c:pt idx="6">
                  <c:v>KIMTEMEN </c:v>
                </c:pt>
                <c:pt idx="7">
                  <c:v>BAYER</c:v>
                </c:pt>
                <c:pt idx="8">
                  <c:v>FRISONEX  FARMACEUTICA</c:v>
                </c:pt>
                <c:pt idx="9">
                  <c:v>RASERPHARM </c:v>
                </c:pt>
                <c:pt idx="10">
                  <c:v>BRISTOL MYERS SQUIBB </c:v>
                </c:pt>
              </c:strCache>
            </c:strRef>
          </c:cat>
          <c:val>
            <c:numRef>
              <c:f>'PRODUCTOS FARMACEUTICOS'!$F$424:$F$434</c:f>
              <c:numCache>
                <c:formatCode>0.00</c:formatCode>
                <c:ptCount val="11"/>
                <c:pt idx="0">
                  <c:v>2587.7405896801488</c:v>
                </c:pt>
                <c:pt idx="1">
                  <c:v>9.351660417067674E-2</c:v>
                </c:pt>
                <c:pt idx="2">
                  <c:v>0.8576243291875042</c:v>
                </c:pt>
                <c:pt idx="3">
                  <c:v>0.82896485038263601</c:v>
                </c:pt>
                <c:pt idx="4">
                  <c:v>10.131321298415095</c:v>
                </c:pt>
                <c:pt idx="5">
                  <c:v>126.46892112834932</c:v>
                </c:pt>
                <c:pt idx="6">
                  <c:v>0</c:v>
                </c:pt>
                <c:pt idx="7">
                  <c:v>0</c:v>
                </c:pt>
                <c:pt idx="8">
                  <c:v>16.819817289348165</c:v>
                </c:pt>
                <c:pt idx="9">
                  <c:v>0</c:v>
                </c:pt>
                <c:pt idx="10">
                  <c:v>4.0568434986305446</c:v>
                </c:pt>
              </c:numCache>
            </c:numRef>
          </c:val>
        </c:ser>
        <c:dLbls>
          <c:showLegendKey val="0"/>
          <c:showVal val="0"/>
          <c:showCatName val="0"/>
          <c:showSerName val="0"/>
          <c:showPercent val="0"/>
          <c:showBubbleSize val="0"/>
        </c:dLbls>
        <c:gapWidth val="75"/>
        <c:shape val="box"/>
        <c:axId val="371383392"/>
        <c:axId val="371376336"/>
        <c:axId val="0"/>
      </c:bar3DChart>
      <c:catAx>
        <c:axId val="371383392"/>
        <c:scaling>
          <c:orientation val="minMax"/>
        </c:scaling>
        <c:delete val="1"/>
        <c:axPos val="l"/>
        <c:numFmt formatCode="General" sourceLinked="0"/>
        <c:majorTickMark val="none"/>
        <c:minorTickMark val="none"/>
        <c:tickLblPos val="none"/>
        <c:crossAx val="371376336"/>
        <c:crosses val="autoZero"/>
        <c:auto val="1"/>
        <c:lblAlgn val="ctr"/>
        <c:lblOffset val="100"/>
        <c:noMultiLvlLbl val="0"/>
      </c:catAx>
      <c:valAx>
        <c:axId val="371376336"/>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83392"/>
        <c:crosses val="autoZero"/>
        <c:crossBetween val="between"/>
      </c:valAx>
    </c:plotArea>
    <c:legend>
      <c:legendPos val="b"/>
      <c:overlay val="0"/>
      <c:txPr>
        <a:bodyPr/>
        <a:lstStyle/>
        <a:p>
          <a:pPr>
            <a:defRPr lang="es-ES"/>
          </a:pPr>
          <a:endParaRPr lang="es-EC"/>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CONCENTRACION DE RENTABILIDAD 2009</a:t>
            </a:r>
          </a:p>
        </c:rich>
      </c:tx>
      <c:overlay val="0"/>
    </c:title>
    <c:autoTitleDeleted val="0"/>
    <c:view3D>
      <c:rotX val="30"/>
      <c:rotY val="0"/>
      <c:rAngAx val="0"/>
    </c:view3D>
    <c:floor>
      <c:thickness val="0"/>
    </c:floor>
    <c:sideWall>
      <c:thickness val="0"/>
    </c:sideWall>
    <c:backWall>
      <c:thickness val="0"/>
    </c:backWall>
    <c:plotArea>
      <c:layout/>
      <c:pie3DChart>
        <c:varyColors val="1"/>
        <c:ser>
          <c:idx val="0"/>
          <c:order val="0"/>
          <c:dLbls>
            <c:spPr>
              <a:noFill/>
              <a:ln>
                <a:noFill/>
              </a:ln>
              <a:effectLst/>
            </c:spPr>
            <c:txPr>
              <a:bodyPr/>
              <a:lstStyle/>
              <a:p>
                <a:pPr>
                  <a:defRPr lang="es-ES" sz="11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'PRODUCTOS FARMACEUTICOS'!$I$437:$J$437</c:f>
              <c:numCache>
                <c:formatCode>0%</c:formatCode>
                <c:ptCount val="2"/>
                <c:pt idx="0">
                  <c:v>0.95590350999732276</c:v>
                </c:pt>
                <c:pt idx="1">
                  <c:v>4.4027570303410417E-2</c:v>
                </c:pt>
              </c:numCache>
            </c:numRef>
          </c:val>
        </c:ser>
        <c:dLbls>
          <c:showLegendKey val="0"/>
          <c:showVal val="0"/>
          <c:showCatName val="0"/>
          <c:showSerName val="0"/>
          <c:showPercent val="1"/>
          <c:showBubbleSize val="0"/>
          <c:showLeaderLines val="1"/>
        </c:dLbls>
      </c:pie3DChart>
    </c:plotArea>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RENTABILIDAD PRODUCTOS FARMACEUTICOS 2010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FARMACEUTICOS'!$B$424:$B$434</c:f>
              <c:strCache>
                <c:ptCount val="11"/>
                <c:pt idx="0">
                  <c:v> FARMACEUTICA DIFARE </c:v>
                </c:pt>
                <c:pt idx="1">
                  <c:v>CHEMEQUIP INDUSTRIAS </c:v>
                </c:pt>
                <c:pt idx="2">
                  <c:v>BAENA FARMAS S.A </c:v>
                </c:pt>
                <c:pt idx="3">
                  <c:v>PROVENCO</c:v>
                </c:pt>
                <c:pt idx="4">
                  <c:v> INFABI</c:v>
                </c:pt>
                <c:pt idx="5">
                  <c:v>LETERARGO DEL ECUADOR </c:v>
                </c:pt>
                <c:pt idx="6">
                  <c:v>KIMTEMEN </c:v>
                </c:pt>
                <c:pt idx="7">
                  <c:v>BAYER</c:v>
                </c:pt>
                <c:pt idx="8">
                  <c:v>FRISONEX  FARMACEUTICA</c:v>
                </c:pt>
                <c:pt idx="9">
                  <c:v>RASERPHARM </c:v>
                </c:pt>
                <c:pt idx="10">
                  <c:v>BRISTOL MYERS SQUIBB </c:v>
                </c:pt>
              </c:strCache>
            </c:strRef>
          </c:cat>
          <c:val>
            <c:numRef>
              <c:f>'PRODUCTOS FARMACEUTICOS'!$G$424:$G$434</c:f>
              <c:numCache>
                <c:formatCode>0.00</c:formatCode>
                <c:ptCount val="11"/>
                <c:pt idx="0">
                  <c:v>87.707737170995827</c:v>
                </c:pt>
                <c:pt idx="1">
                  <c:v>0.30580484654543411</c:v>
                </c:pt>
                <c:pt idx="2">
                  <c:v>0.92608008789062279</c:v>
                </c:pt>
                <c:pt idx="3">
                  <c:v>0.91047506851238702</c:v>
                </c:pt>
                <c:pt idx="4">
                  <c:v>-3.1829736565694571</c:v>
                </c:pt>
                <c:pt idx="5">
                  <c:v>11.245840169962808</c:v>
                </c:pt>
                <c:pt idx="6">
                  <c:v>0</c:v>
                </c:pt>
                <c:pt idx="7">
                  <c:v>0</c:v>
                </c:pt>
                <c:pt idx="8">
                  <c:v>4.1011970556592567</c:v>
                </c:pt>
                <c:pt idx="9">
                  <c:v>0</c:v>
                </c:pt>
                <c:pt idx="10">
                  <c:v>-2.0141607429970838</c:v>
                </c:pt>
              </c:numCache>
            </c:numRef>
          </c:val>
        </c:ser>
        <c:dLbls>
          <c:showLegendKey val="0"/>
          <c:showVal val="0"/>
          <c:showCatName val="0"/>
          <c:showSerName val="0"/>
          <c:showPercent val="0"/>
          <c:showBubbleSize val="0"/>
        </c:dLbls>
        <c:gapWidth val="75"/>
        <c:shape val="box"/>
        <c:axId val="371377512"/>
        <c:axId val="371379080"/>
        <c:axId val="0"/>
      </c:bar3DChart>
      <c:catAx>
        <c:axId val="371377512"/>
        <c:scaling>
          <c:orientation val="minMax"/>
        </c:scaling>
        <c:delete val="0"/>
        <c:axPos val="b"/>
        <c:numFmt formatCode="General" sourceLinked="0"/>
        <c:majorTickMark val="none"/>
        <c:minorTickMark val="none"/>
        <c:tickLblPos val="nextTo"/>
        <c:txPr>
          <a:bodyPr/>
          <a:lstStyle/>
          <a:p>
            <a:pPr>
              <a:defRPr lang="es-ES"/>
            </a:pPr>
            <a:endParaRPr lang="es-EC"/>
          </a:p>
        </c:txPr>
        <c:crossAx val="371379080"/>
        <c:crosses val="autoZero"/>
        <c:auto val="1"/>
        <c:lblAlgn val="ctr"/>
        <c:lblOffset val="100"/>
        <c:noMultiLvlLbl val="0"/>
      </c:catAx>
      <c:valAx>
        <c:axId val="371379080"/>
        <c:scaling>
          <c:orientation val="minMax"/>
        </c:scaling>
        <c:delete val="0"/>
        <c:axPos val="l"/>
        <c:majorGridlines/>
        <c:numFmt formatCode="0.00" sourceLinked="1"/>
        <c:majorTickMark val="none"/>
        <c:minorTickMark val="none"/>
        <c:tickLblPos val="nextTo"/>
        <c:spPr>
          <a:ln w="9525">
            <a:noFill/>
          </a:ln>
        </c:spPr>
        <c:txPr>
          <a:bodyPr/>
          <a:lstStyle/>
          <a:p>
            <a:pPr>
              <a:defRPr lang="es-ES"/>
            </a:pPr>
            <a:endParaRPr lang="es-EC"/>
          </a:p>
        </c:txPr>
        <c:crossAx val="371377512"/>
        <c:crosses val="autoZero"/>
        <c:crossBetween val="between"/>
      </c:valAx>
    </c:plotArea>
    <c:legend>
      <c:legendPos val="b"/>
      <c:overlay val="0"/>
      <c:txPr>
        <a:bodyPr/>
        <a:lstStyle/>
        <a:p>
          <a:pPr>
            <a:defRPr lang="es-ES"/>
          </a:pPr>
          <a:endParaRPr lang="es-EC"/>
        </a:p>
      </c:txPr>
    </c:legend>
    <c:plotVisOnly val="1"/>
    <c:dispBlanksAs val="gap"/>
    <c:showDLblsOverMax val="0"/>
  </c:chart>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RENTABILIDAD PRODUCTOS FARMACEUTICOS GUAYAQUIL 2010</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FARMACEUTICOS'!$B$424:$B$434</c:f>
              <c:strCache>
                <c:ptCount val="11"/>
                <c:pt idx="0">
                  <c:v> FARMACEUTICA DIFARE </c:v>
                </c:pt>
                <c:pt idx="1">
                  <c:v>CHEMEQUIP INDUSTRIAS </c:v>
                </c:pt>
                <c:pt idx="2">
                  <c:v>BAENA FARMAS S.A </c:v>
                </c:pt>
                <c:pt idx="3">
                  <c:v>PROVENCO</c:v>
                </c:pt>
                <c:pt idx="4">
                  <c:v> INFABI</c:v>
                </c:pt>
                <c:pt idx="5">
                  <c:v>LETERARGO DEL ECUADOR </c:v>
                </c:pt>
                <c:pt idx="6">
                  <c:v>KIMTEMEN </c:v>
                </c:pt>
                <c:pt idx="7">
                  <c:v>BAYER</c:v>
                </c:pt>
                <c:pt idx="8">
                  <c:v>FRISONEX  FARMACEUTICA</c:v>
                </c:pt>
                <c:pt idx="9">
                  <c:v>RASERPHARM </c:v>
                </c:pt>
                <c:pt idx="10">
                  <c:v>BRISTOL MYERS SQUIBB </c:v>
                </c:pt>
              </c:strCache>
            </c:strRef>
          </c:cat>
          <c:val>
            <c:numRef>
              <c:f>'PRODUCTOS FARMACEUTICOS'!$H$424:$H$434</c:f>
              <c:numCache>
                <c:formatCode>0.00</c:formatCode>
                <c:ptCount val="11"/>
                <c:pt idx="0">
                  <c:v>7692.6471596565134</c:v>
                </c:pt>
                <c:pt idx="1">
                  <c:v>9.351660417067674E-2</c:v>
                </c:pt>
                <c:pt idx="2">
                  <c:v>0.8576243291875042</c:v>
                </c:pt>
                <c:pt idx="3">
                  <c:v>0.82896485038263601</c:v>
                </c:pt>
                <c:pt idx="4">
                  <c:v>10.131321298415095</c:v>
                </c:pt>
                <c:pt idx="5">
                  <c:v>126.46892112834932</c:v>
                </c:pt>
                <c:pt idx="6">
                  <c:v>0</c:v>
                </c:pt>
                <c:pt idx="7">
                  <c:v>0</c:v>
                </c:pt>
                <c:pt idx="8">
                  <c:v>16.819817289348165</c:v>
                </c:pt>
                <c:pt idx="9">
                  <c:v>0</c:v>
                </c:pt>
                <c:pt idx="10">
                  <c:v>4.0568434986305446</c:v>
                </c:pt>
              </c:numCache>
            </c:numRef>
          </c:val>
        </c:ser>
        <c:dLbls>
          <c:showLegendKey val="0"/>
          <c:showVal val="0"/>
          <c:showCatName val="0"/>
          <c:showSerName val="0"/>
          <c:showPercent val="0"/>
          <c:showBubbleSize val="0"/>
        </c:dLbls>
        <c:gapWidth val="75"/>
        <c:shape val="box"/>
        <c:axId val="371380648"/>
        <c:axId val="371377120"/>
        <c:axId val="0"/>
      </c:bar3DChart>
      <c:catAx>
        <c:axId val="371380648"/>
        <c:scaling>
          <c:orientation val="minMax"/>
        </c:scaling>
        <c:delete val="0"/>
        <c:axPos val="l"/>
        <c:numFmt formatCode="General" sourceLinked="0"/>
        <c:majorTickMark val="none"/>
        <c:minorTickMark val="none"/>
        <c:tickLblPos val="nextTo"/>
        <c:txPr>
          <a:bodyPr/>
          <a:lstStyle/>
          <a:p>
            <a:pPr>
              <a:defRPr lang="es-ES"/>
            </a:pPr>
            <a:endParaRPr lang="es-EC"/>
          </a:p>
        </c:txPr>
        <c:crossAx val="371377120"/>
        <c:crosses val="autoZero"/>
        <c:auto val="1"/>
        <c:lblAlgn val="ctr"/>
        <c:lblOffset val="100"/>
        <c:noMultiLvlLbl val="0"/>
      </c:catAx>
      <c:valAx>
        <c:axId val="371377120"/>
        <c:scaling>
          <c:orientation val="minMax"/>
        </c:scaling>
        <c:delete val="0"/>
        <c:axPos val="b"/>
        <c:majorGridlines/>
        <c:numFmt formatCode="0.00" sourceLinked="1"/>
        <c:majorTickMark val="none"/>
        <c:minorTickMark val="none"/>
        <c:tickLblPos val="nextTo"/>
        <c:spPr>
          <a:ln w="9525">
            <a:noFill/>
          </a:ln>
        </c:spPr>
        <c:txPr>
          <a:bodyPr/>
          <a:lstStyle/>
          <a:p>
            <a:pPr>
              <a:defRPr lang="es-ES"/>
            </a:pPr>
            <a:endParaRPr lang="es-EC"/>
          </a:p>
        </c:txPr>
        <c:crossAx val="371380648"/>
        <c:crosses val="autoZero"/>
        <c:crossBetween val="between"/>
      </c:valAx>
    </c:plotArea>
    <c:plotVisOnly val="1"/>
    <c:dispBlanksAs val="gap"/>
    <c:showDLblsOverMax val="0"/>
  </c:chart>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4"/>
    </mc:Choice>
    <mc:Fallback>
      <c:style val="44"/>
    </mc:Fallback>
  </mc:AlternateContent>
  <c:chart>
    <c:title>
      <c:tx>
        <c:rich>
          <a:bodyPr/>
          <a:lstStyle/>
          <a:p>
            <a:pPr>
              <a:defRPr lang="es-ES"/>
            </a:pPr>
            <a:r>
              <a:rPr lang="en-US"/>
              <a:t>PORCENTAJE TOTAL DE CONCENTRACION 2010</a:t>
            </a:r>
          </a:p>
        </c:rich>
      </c:tx>
      <c:overlay val="0"/>
    </c:title>
    <c:autoTitleDeleted val="0"/>
    <c:plotArea>
      <c:layout/>
      <c:doughnutChart>
        <c:varyColors val="1"/>
        <c:ser>
          <c:idx val="0"/>
          <c:order val="0"/>
          <c:explosion val="25"/>
          <c:dLbls>
            <c:spPr>
              <a:noFill/>
              <a:ln>
                <a:noFill/>
              </a:ln>
              <a:effectLst/>
            </c:spPr>
            <c:txPr>
              <a:bodyPr/>
              <a:lstStyle/>
              <a:p>
                <a:pPr>
                  <a:defRPr lang="es-ES" sz="1100" b="1"/>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'PRODUCTOS FARMACEUTICOS'!$K$437:$L$437</c:f>
              <c:numCache>
                <c:formatCode>0%</c:formatCode>
                <c:ptCount val="2"/>
                <c:pt idx="0">
                  <c:v>0.97121254402143276</c:v>
                </c:pt>
                <c:pt idx="1">
                  <c:v>2.87424632181775E-2</c:v>
                </c:pt>
              </c:numCache>
            </c:numRef>
          </c:val>
        </c:ser>
        <c:dLbls>
          <c:showLegendKey val="0"/>
          <c:showVal val="0"/>
          <c:showCatName val="0"/>
          <c:showSerName val="0"/>
          <c:showPercent val="1"/>
          <c:showBubbleSize val="0"/>
          <c:showLeaderLines val="1"/>
        </c:dLbls>
        <c:firstSliceAng val="0"/>
        <c:holeSize val="50"/>
      </c:doughnutChart>
    </c:plotArea>
    <c:plotVisOnly val="1"/>
    <c:dispBlanksAs val="zero"/>
    <c:showDLblsOverMax val="0"/>
  </c:chart>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ACTIVO QUITO 2009</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QUIMICOS'!$B$16:$B$22</c:f>
              <c:strCache>
                <c:ptCount val="7"/>
                <c:pt idx="0">
                  <c:v>IMPORTACIONES  IMFAREC</c:v>
                </c:pt>
                <c:pt idx="1">
                  <c:v>HOSPIMEDIKKA CIA LTDA</c:v>
                </c:pt>
                <c:pt idx="2">
                  <c:v>BASE ECUATORIANA S.A.</c:v>
                </c:pt>
                <c:pt idx="3">
                  <c:v>PHARMABRAND</c:v>
                </c:pt>
                <c:pt idx="4">
                  <c:v>PHARMA TOTAL S.A.</c:v>
                </c:pt>
                <c:pt idx="5">
                  <c:v>QUIMICA ARISTON ECUADOR  </c:v>
                </c:pt>
                <c:pt idx="6">
                  <c:v>QUALA ECUADOR S.A.</c:v>
                </c:pt>
              </c:strCache>
            </c:strRef>
          </c:cat>
          <c:val>
            <c:numRef>
              <c:f>'PRODUCTOS QUIMICOS'!$E$16:$E$22</c:f>
              <c:numCache>
                <c:formatCode>0.00</c:formatCode>
                <c:ptCount val="7"/>
                <c:pt idx="0">
                  <c:v>9.308257074953151E-2</c:v>
                </c:pt>
                <c:pt idx="1">
                  <c:v>1.8391814750369171</c:v>
                </c:pt>
                <c:pt idx="2">
                  <c:v>64.064212441333339</c:v>
                </c:pt>
                <c:pt idx="3">
                  <c:v>13.729352439261518</c:v>
                </c:pt>
                <c:pt idx="4">
                  <c:v>2.1957842355149408E-2</c:v>
                </c:pt>
                <c:pt idx="5">
                  <c:v>6.7441883003593954</c:v>
                </c:pt>
                <c:pt idx="6">
                  <c:v>13.505739816792357</c:v>
                </c:pt>
              </c:numCache>
            </c:numRef>
          </c:val>
        </c:ser>
        <c:dLbls>
          <c:showLegendKey val="0"/>
          <c:showVal val="0"/>
          <c:showCatName val="0"/>
          <c:showSerName val="0"/>
          <c:showPercent val="0"/>
          <c:showBubbleSize val="0"/>
        </c:dLbls>
        <c:gapWidth val="150"/>
        <c:shape val="box"/>
        <c:axId val="371383000"/>
        <c:axId val="371379864"/>
        <c:axId val="0"/>
      </c:bar3DChart>
      <c:catAx>
        <c:axId val="371383000"/>
        <c:scaling>
          <c:orientation val="minMax"/>
        </c:scaling>
        <c:delete val="0"/>
        <c:axPos val="b"/>
        <c:numFmt formatCode="General" sourceLinked="0"/>
        <c:majorTickMark val="none"/>
        <c:minorTickMark val="none"/>
        <c:tickLblPos val="nextTo"/>
        <c:txPr>
          <a:bodyPr/>
          <a:lstStyle/>
          <a:p>
            <a:pPr>
              <a:defRPr lang="es-ES"/>
            </a:pPr>
            <a:endParaRPr lang="es-EC"/>
          </a:p>
        </c:txPr>
        <c:crossAx val="371379864"/>
        <c:crosses val="autoZero"/>
        <c:auto val="1"/>
        <c:lblAlgn val="ctr"/>
        <c:lblOffset val="100"/>
        <c:noMultiLvlLbl val="0"/>
      </c:catAx>
      <c:valAx>
        <c:axId val="371379864"/>
        <c:scaling>
          <c:orientation val="minMax"/>
        </c:scaling>
        <c:delete val="0"/>
        <c:axPos val="l"/>
        <c:majorGridlines/>
        <c:numFmt formatCode="0.00" sourceLinked="1"/>
        <c:majorTickMark val="out"/>
        <c:minorTickMark val="none"/>
        <c:tickLblPos val="nextTo"/>
        <c:txPr>
          <a:bodyPr/>
          <a:lstStyle/>
          <a:p>
            <a:pPr>
              <a:defRPr lang="es-ES"/>
            </a:pPr>
            <a:endParaRPr lang="es-EC"/>
          </a:p>
        </c:txPr>
        <c:crossAx val="371383000"/>
        <c:crosses val="autoZero"/>
        <c:crossBetween val="between"/>
      </c:valAx>
    </c:plotArea>
    <c:plotVisOnly val="1"/>
    <c:dispBlanksAs val="gap"/>
    <c:showDLblsOverMax val="0"/>
  </c:chart>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ACTIVO GUAYAQUIL 2009</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QUIMICOS'!$B$16:$B$22</c:f>
              <c:strCache>
                <c:ptCount val="7"/>
                <c:pt idx="0">
                  <c:v>IMPORTACIONES  IMFAREC</c:v>
                </c:pt>
                <c:pt idx="1">
                  <c:v>HOSPIMEDIKKA CIA LTDA</c:v>
                </c:pt>
                <c:pt idx="2">
                  <c:v>BASE ECUATORIANA S.A.</c:v>
                </c:pt>
                <c:pt idx="3">
                  <c:v>PHARMABRAND</c:v>
                </c:pt>
                <c:pt idx="4">
                  <c:v>PHARMA TOTAL S.A.</c:v>
                </c:pt>
                <c:pt idx="5">
                  <c:v>QUIMICA ARISTON ECUADOR  </c:v>
                </c:pt>
                <c:pt idx="6">
                  <c:v>QUALA ECUADOR S.A.</c:v>
                </c:pt>
              </c:strCache>
            </c:strRef>
          </c:cat>
          <c:val>
            <c:numRef>
              <c:f>'PRODUCTOS QUIMICOS'!$F$16:$F$22</c:f>
              <c:numCache>
                <c:formatCode>0.00</c:formatCode>
                <c:ptCount val="7"/>
                <c:pt idx="0">
                  <c:v>8.6643649773415297E-3</c:v>
                </c:pt>
                <c:pt idx="1">
                  <c:v>3.3825884981189667</c:v>
                </c:pt>
                <c:pt idx="2">
                  <c:v>4104.2233157282535</c:v>
                </c:pt>
                <c:pt idx="3">
                  <c:v>188.49511840145641</c:v>
                </c:pt>
                <c:pt idx="4">
                  <c:v>4.8214684089359106E-4</c:v>
                </c:pt>
                <c:pt idx="5">
                  <c:v>45.484075830704676</c:v>
                </c:pt>
                <c:pt idx="6">
                  <c:v>182.4050079988896</c:v>
                </c:pt>
              </c:numCache>
            </c:numRef>
          </c:val>
        </c:ser>
        <c:dLbls>
          <c:showLegendKey val="0"/>
          <c:showVal val="1"/>
          <c:showCatName val="0"/>
          <c:showSerName val="0"/>
          <c:showPercent val="0"/>
          <c:showBubbleSize val="0"/>
        </c:dLbls>
        <c:gapWidth val="150"/>
        <c:shape val="box"/>
        <c:axId val="371380256"/>
        <c:axId val="372884184"/>
        <c:axId val="0"/>
      </c:bar3DChart>
      <c:catAx>
        <c:axId val="371380256"/>
        <c:scaling>
          <c:orientation val="minMax"/>
        </c:scaling>
        <c:delete val="0"/>
        <c:axPos val="l"/>
        <c:numFmt formatCode="General" sourceLinked="0"/>
        <c:majorTickMark val="none"/>
        <c:minorTickMark val="none"/>
        <c:tickLblPos val="nextTo"/>
        <c:txPr>
          <a:bodyPr/>
          <a:lstStyle/>
          <a:p>
            <a:pPr>
              <a:defRPr lang="es-ES"/>
            </a:pPr>
            <a:endParaRPr lang="es-EC"/>
          </a:p>
        </c:txPr>
        <c:crossAx val="372884184"/>
        <c:crosses val="autoZero"/>
        <c:auto val="1"/>
        <c:lblAlgn val="ctr"/>
        <c:lblOffset val="100"/>
        <c:noMultiLvlLbl val="0"/>
      </c:catAx>
      <c:valAx>
        <c:axId val="372884184"/>
        <c:scaling>
          <c:orientation val="minMax"/>
        </c:scaling>
        <c:delete val="1"/>
        <c:axPos val="b"/>
        <c:numFmt formatCode="0.00" sourceLinked="1"/>
        <c:majorTickMark val="out"/>
        <c:minorTickMark val="none"/>
        <c:tickLblPos val="none"/>
        <c:crossAx val="371380256"/>
        <c:crosses val="autoZero"/>
        <c:crossBetween val="between"/>
      </c:valAx>
    </c:plotArea>
    <c:plotVisOnly val="1"/>
    <c:dispBlanksAs val="gap"/>
    <c:showDLblsOverMax val="0"/>
  </c:chart>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48"/>
    </mc:Choice>
    <mc:Fallback>
      <c:style val="48"/>
    </mc:Fallback>
  </mc:AlternateContent>
  <c:chart>
    <c:title>
      <c:tx>
        <c:rich>
          <a:bodyPr/>
          <a:lstStyle/>
          <a:p>
            <a:pPr>
              <a:defRPr lang="es-ES"/>
            </a:pPr>
            <a:r>
              <a:rPr lang="en-US"/>
              <a:t>PORCENTAJE TOTAL DE CONCENTRACION DE ACTIVO 2009 </a:t>
            </a:r>
          </a:p>
        </c:rich>
      </c:tx>
      <c:overlay val="0"/>
    </c:title>
    <c:autoTitleDeleted val="0"/>
    <c:plotArea>
      <c:layout/>
      <c:doughnutChart>
        <c:varyColors val="1"/>
        <c:ser>
          <c:idx val="0"/>
          <c:order val="0"/>
          <c:explosion val="25"/>
          <c:dLbls>
            <c:spPr>
              <a:noFill/>
              <a:ln>
                <a:noFill/>
              </a:ln>
              <a:effectLst/>
            </c:spPr>
            <c:txPr>
              <a:bodyPr/>
              <a:lstStyle/>
              <a:p>
                <a:pPr>
                  <a:defRPr lang="es-ES" sz="1050"/>
                </a:pPr>
                <a:endParaRPr lang="es-EC"/>
              </a:p>
            </c:txPr>
            <c:showLegendKey val="0"/>
            <c:showVal val="0"/>
            <c:showCatName val="0"/>
            <c:showSerName val="0"/>
            <c:showPercent val="1"/>
            <c:showBubbleSize val="0"/>
            <c:showLeaderLines val="1"/>
            <c:extLst>
              <c:ext xmlns:c15="http://schemas.microsoft.com/office/drawing/2012/chart" uri="{CE6537A1-D6FC-4f65-9D91-7224C49458BB}"/>
            </c:extLst>
          </c:dLbls>
          <c:val>
            <c:numRef>
              <c:f>'PRODUCTOS QUIMICOS'!$I$25:$J$25</c:f>
              <c:numCache>
                <c:formatCode>0%</c:formatCode>
                <c:ptCount val="2"/>
                <c:pt idx="0">
                  <c:v>0.91310000000000002</c:v>
                </c:pt>
                <c:pt idx="1">
                  <c:v>8.6900000000000047E-2</c:v>
                </c:pt>
              </c:numCache>
            </c:numRef>
          </c:val>
        </c:ser>
        <c:dLbls>
          <c:showLegendKey val="0"/>
          <c:showVal val="0"/>
          <c:showCatName val="0"/>
          <c:showSerName val="0"/>
          <c:showPercent val="1"/>
          <c:showBubbleSize val="0"/>
          <c:showLeaderLines val="1"/>
        </c:dLbls>
        <c:firstSliceAng val="0"/>
        <c:holeSize val="50"/>
      </c:doughnutChart>
    </c:plotArea>
    <c:legend>
      <c:legendPos val="r"/>
      <c:overlay val="0"/>
      <c:txPr>
        <a:bodyPr/>
        <a:lstStyle/>
        <a:p>
          <a:pPr rtl="0">
            <a:defRPr lang="es-ES"/>
          </a:pPr>
          <a:endParaRPr lang="es-EC"/>
        </a:p>
      </c:txPr>
    </c:legend>
    <c:plotVisOnly val="1"/>
    <c:dispBlanksAs val="zero"/>
    <c:showDLblsOverMax val="0"/>
  </c:chart>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PORCENTAJE DE ACTIVO 2010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QUIMICOS'!$B$16:$B$22</c:f>
              <c:strCache>
                <c:ptCount val="7"/>
                <c:pt idx="0">
                  <c:v>IMPORTACIONES  IMFAREC</c:v>
                </c:pt>
                <c:pt idx="1">
                  <c:v>HOSPIMEDIKKA CIA LTDA</c:v>
                </c:pt>
                <c:pt idx="2">
                  <c:v>BASE ECUATORIANA S.A.</c:v>
                </c:pt>
                <c:pt idx="3">
                  <c:v>PHARMABRAND</c:v>
                </c:pt>
                <c:pt idx="4">
                  <c:v>PHARMA TOTAL S.A.</c:v>
                </c:pt>
                <c:pt idx="5">
                  <c:v>QUIMICA ARISTON ECUADOR  </c:v>
                </c:pt>
                <c:pt idx="6">
                  <c:v>QUALA ECUADOR S.A.</c:v>
                </c:pt>
              </c:strCache>
            </c:strRef>
          </c:cat>
          <c:val>
            <c:numRef>
              <c:f>'PRODUCTOS QUIMICOS'!$G$16:$G$22</c:f>
              <c:numCache>
                <c:formatCode>0.00</c:formatCode>
                <c:ptCount val="7"/>
                <c:pt idx="0">
                  <c:v>0.11104098765816298</c:v>
                </c:pt>
                <c:pt idx="1">
                  <c:v>1.9582745542077504</c:v>
                </c:pt>
                <c:pt idx="2">
                  <c:v>8.1203125022906484</c:v>
                </c:pt>
                <c:pt idx="3">
                  <c:v>12.006739756481714</c:v>
                </c:pt>
                <c:pt idx="4">
                  <c:v>3.1071433121527017E-2</c:v>
                </c:pt>
                <c:pt idx="5">
                  <c:v>63.336195886098032</c:v>
                </c:pt>
                <c:pt idx="6">
                  <c:v>14.43402770560831</c:v>
                </c:pt>
              </c:numCache>
            </c:numRef>
          </c:val>
        </c:ser>
        <c:dLbls>
          <c:showLegendKey val="0"/>
          <c:showVal val="1"/>
          <c:showCatName val="0"/>
          <c:showSerName val="0"/>
          <c:showPercent val="0"/>
          <c:showBubbleSize val="0"/>
        </c:dLbls>
        <c:gapWidth val="150"/>
        <c:shape val="box"/>
        <c:axId val="372882616"/>
        <c:axId val="372888888"/>
        <c:axId val="0"/>
      </c:bar3DChart>
      <c:catAx>
        <c:axId val="372882616"/>
        <c:scaling>
          <c:orientation val="minMax"/>
        </c:scaling>
        <c:delete val="0"/>
        <c:axPos val="b"/>
        <c:numFmt formatCode="General" sourceLinked="0"/>
        <c:majorTickMark val="none"/>
        <c:minorTickMark val="none"/>
        <c:tickLblPos val="nextTo"/>
        <c:txPr>
          <a:bodyPr/>
          <a:lstStyle/>
          <a:p>
            <a:pPr>
              <a:defRPr lang="es-ES"/>
            </a:pPr>
            <a:endParaRPr lang="es-EC"/>
          </a:p>
        </c:txPr>
        <c:crossAx val="372888888"/>
        <c:crosses val="autoZero"/>
        <c:auto val="1"/>
        <c:lblAlgn val="ctr"/>
        <c:lblOffset val="100"/>
        <c:noMultiLvlLbl val="0"/>
      </c:catAx>
      <c:valAx>
        <c:axId val="372888888"/>
        <c:scaling>
          <c:orientation val="minMax"/>
        </c:scaling>
        <c:delete val="1"/>
        <c:axPos val="l"/>
        <c:numFmt formatCode="0.00" sourceLinked="1"/>
        <c:majorTickMark val="out"/>
        <c:minorTickMark val="none"/>
        <c:tickLblPos val="none"/>
        <c:crossAx val="372882616"/>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ACTIVO 2010</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QUIMICOS'!$B$16:$B$22</c:f>
              <c:strCache>
                <c:ptCount val="7"/>
                <c:pt idx="0">
                  <c:v>IMPORTACIONES  IMFAREC</c:v>
                </c:pt>
                <c:pt idx="1">
                  <c:v>HOSPIMEDIKKA CIA LTDA</c:v>
                </c:pt>
                <c:pt idx="2">
                  <c:v>BASE ECUATORIANA S.A.</c:v>
                </c:pt>
                <c:pt idx="3">
                  <c:v>PHARMABRAND</c:v>
                </c:pt>
                <c:pt idx="4">
                  <c:v>PHARMA TOTAL S.A.</c:v>
                </c:pt>
                <c:pt idx="5">
                  <c:v>QUIMICA ARISTON ECUADOR  </c:v>
                </c:pt>
                <c:pt idx="6">
                  <c:v>QUALA ECUADOR S.A.</c:v>
                </c:pt>
              </c:strCache>
            </c:strRef>
          </c:cat>
          <c:val>
            <c:numRef>
              <c:f>'PRODUCTOS QUIMICOS'!$H$16:$H$22</c:f>
              <c:numCache>
                <c:formatCode>0.00</c:formatCode>
                <c:ptCount val="7"/>
                <c:pt idx="0">
                  <c:v>1.2330100940100303E-2</c:v>
                </c:pt>
                <c:pt idx="1">
                  <c:v>3.834839229657554</c:v>
                </c:pt>
                <c:pt idx="2">
                  <c:v>65.939475134857929</c:v>
                </c:pt>
                <c:pt idx="3">
                  <c:v>144.16179957987774</c:v>
                </c:pt>
                <c:pt idx="4">
                  <c:v>9.6543395622552674E-4</c:v>
                </c:pt>
                <c:pt idx="5">
                  <c:v>4011.4737093221811</c:v>
                </c:pt>
                <c:pt idx="6">
                  <c:v>208.34115580626818</c:v>
                </c:pt>
              </c:numCache>
            </c:numRef>
          </c:val>
        </c:ser>
        <c:dLbls>
          <c:showLegendKey val="0"/>
          <c:showVal val="1"/>
          <c:showCatName val="0"/>
          <c:showSerName val="0"/>
          <c:showPercent val="0"/>
          <c:showBubbleSize val="0"/>
        </c:dLbls>
        <c:gapWidth val="150"/>
        <c:shape val="box"/>
        <c:axId val="372879872"/>
        <c:axId val="372886144"/>
        <c:axId val="0"/>
      </c:bar3DChart>
      <c:catAx>
        <c:axId val="372879872"/>
        <c:scaling>
          <c:orientation val="minMax"/>
        </c:scaling>
        <c:delete val="0"/>
        <c:axPos val="l"/>
        <c:numFmt formatCode="General" sourceLinked="0"/>
        <c:majorTickMark val="none"/>
        <c:minorTickMark val="none"/>
        <c:tickLblPos val="nextTo"/>
        <c:txPr>
          <a:bodyPr/>
          <a:lstStyle/>
          <a:p>
            <a:pPr>
              <a:defRPr lang="es-ES"/>
            </a:pPr>
            <a:endParaRPr lang="es-EC"/>
          </a:p>
        </c:txPr>
        <c:crossAx val="372886144"/>
        <c:crosses val="autoZero"/>
        <c:auto val="1"/>
        <c:lblAlgn val="ctr"/>
        <c:lblOffset val="100"/>
        <c:noMultiLvlLbl val="0"/>
      </c:catAx>
      <c:valAx>
        <c:axId val="372886144"/>
        <c:scaling>
          <c:orientation val="minMax"/>
        </c:scaling>
        <c:delete val="1"/>
        <c:axPos val="b"/>
        <c:numFmt formatCode="0.00" sourceLinked="1"/>
        <c:majorTickMark val="out"/>
        <c:minorTickMark val="none"/>
        <c:tickLblPos val="none"/>
        <c:crossAx val="372879872"/>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a:t>PORCENTAJE</a:t>
            </a:r>
            <a:r>
              <a:rPr lang="es-EC" baseline="0"/>
              <a:t> AÑO 2010 </a:t>
            </a:r>
            <a:endParaRPr lang="es-EC"/>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0.3350665312165072"/>
          <c:y val="0.16509351571519901"/>
          <c:w val="0.6213472805925162"/>
          <c:h val="0.65297264519773501"/>
        </c:manualLayout>
      </c:layout>
      <c:bar3DChart>
        <c:barDir val="bar"/>
        <c:grouping val="stacked"/>
        <c:varyColors val="0"/>
        <c:ser>
          <c:idx val="0"/>
          <c:order val="0"/>
          <c:invertIfNegative val="0"/>
          <c:dLbls>
            <c:dLbl>
              <c:idx val="0"/>
              <c:layout>
                <c:manualLayout>
                  <c:x val="0.3102866229746683"/>
                  <c:y val="-1.1799406375271902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6.7453613690144798E-2"/>
                  <c:y val="0"/>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19561547970141901"/>
                  <c:y val="-1.1799406375271902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11916805085258904"/>
                  <c:y val="-1.1799406375271902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7.4198975059159122E-2"/>
                  <c:y val="-3.9331354584239923E-3"/>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8.0944336428173627E-2"/>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7.8695882638502107E-2"/>
                  <c:y val="7.8662709168479429E-3"/>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8.0944336428173627E-2"/>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8.3192790217845133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8.3192790217845133E-2"/>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ACTIVOS!$B$135:$B$144</c:f>
              <c:strCache>
                <c:ptCount val="10"/>
                <c:pt idx="0">
                  <c:v>SALUDCOOP</c:v>
                </c:pt>
                <c:pt idx="1">
                  <c:v>CENTRO  FETALPRONATAL </c:v>
                </c:pt>
                <c:pt idx="2">
                  <c:v>CLINICA PANAMERICANA </c:v>
                </c:pt>
                <c:pt idx="3">
                  <c:v>CLINICA SANTAMARIA</c:v>
                </c:pt>
                <c:pt idx="4">
                  <c:v>CLINICA SAN LUIS </c:v>
                </c:pt>
                <c:pt idx="5">
                  <c:v>CLINICA PARKER</c:v>
                </c:pt>
                <c:pt idx="6">
                  <c:v>INREUMI</c:v>
                </c:pt>
                <c:pt idx="7">
                  <c:v>CLIMEDINOR</c:v>
                </c:pt>
                <c:pt idx="8">
                  <c:v>COMPARASAD </c:v>
                </c:pt>
                <c:pt idx="9">
                  <c:v>CERNIMED</c:v>
                </c:pt>
              </c:strCache>
            </c:strRef>
          </c:cat>
          <c:val>
            <c:numRef>
              <c:f>ACTIVOS!$E$135:$E$144</c:f>
              <c:numCache>
                <c:formatCode>0.00</c:formatCode>
                <c:ptCount val="10"/>
                <c:pt idx="0">
                  <c:v>53.942660954143896</c:v>
                </c:pt>
                <c:pt idx="1">
                  <c:v>1.9943053321276081</c:v>
                </c:pt>
                <c:pt idx="2">
                  <c:v>31.727017583640187</c:v>
                </c:pt>
                <c:pt idx="3">
                  <c:v>11.046150517532499</c:v>
                </c:pt>
                <c:pt idx="4">
                  <c:v>0.29100432194337811</c:v>
                </c:pt>
                <c:pt idx="5">
                  <c:v>0</c:v>
                </c:pt>
                <c:pt idx="6">
                  <c:v>0.6232818550138014</c:v>
                </c:pt>
                <c:pt idx="7">
                  <c:v>0</c:v>
                </c:pt>
                <c:pt idx="8">
                  <c:v>0.13999461911374</c:v>
                </c:pt>
                <c:pt idx="9">
                  <c:v>0.23558481648489601</c:v>
                </c:pt>
              </c:numCache>
            </c:numRef>
          </c:val>
        </c:ser>
        <c:dLbls>
          <c:showLegendKey val="0"/>
          <c:showVal val="0"/>
          <c:showCatName val="0"/>
          <c:showSerName val="0"/>
          <c:showPercent val="0"/>
          <c:showBubbleSize val="0"/>
        </c:dLbls>
        <c:gapWidth val="55"/>
        <c:gapDepth val="55"/>
        <c:shape val="box"/>
        <c:axId val="325765864"/>
        <c:axId val="325764688"/>
        <c:axId val="0"/>
      </c:bar3DChart>
      <c:catAx>
        <c:axId val="325765864"/>
        <c:scaling>
          <c:orientation val="minMax"/>
        </c:scaling>
        <c:delete val="0"/>
        <c:axPos val="l"/>
        <c:title>
          <c:tx>
            <c:rich>
              <a:bodyPr/>
              <a:lstStyle/>
              <a:p>
                <a:pPr>
                  <a:defRPr lang="es-ES"/>
                </a:pPr>
                <a:r>
                  <a:rPr lang="en-US"/>
                  <a:t>CLINICAS Y HOSPITALES</a:t>
                </a:r>
              </a:p>
            </c:rich>
          </c:tx>
          <c:overlay val="0"/>
        </c:title>
        <c:numFmt formatCode="General" sourceLinked="0"/>
        <c:majorTickMark val="none"/>
        <c:minorTickMark val="none"/>
        <c:tickLblPos val="nextTo"/>
        <c:txPr>
          <a:bodyPr/>
          <a:lstStyle/>
          <a:p>
            <a:pPr>
              <a:defRPr lang="es-ES"/>
            </a:pPr>
            <a:endParaRPr lang="es-EC"/>
          </a:p>
        </c:txPr>
        <c:crossAx val="325764688"/>
        <c:crosses val="autoZero"/>
        <c:auto val="1"/>
        <c:lblAlgn val="ctr"/>
        <c:lblOffset val="100"/>
        <c:noMultiLvlLbl val="0"/>
      </c:catAx>
      <c:valAx>
        <c:axId val="325764688"/>
        <c:scaling>
          <c:orientation val="minMax"/>
        </c:scaling>
        <c:delete val="0"/>
        <c:axPos val="b"/>
        <c:majorGridlines/>
        <c:title>
          <c:tx>
            <c:rich>
              <a:bodyPr/>
              <a:lstStyle/>
              <a:p>
                <a:pPr>
                  <a:defRPr lang="es-ES"/>
                </a:pPr>
                <a:r>
                  <a:rPr lang="es-EC"/>
                  <a:t>PORCENTAJES</a:t>
                </a:r>
              </a:p>
            </c:rich>
          </c:tx>
          <c:overlay val="0"/>
        </c:title>
        <c:numFmt formatCode="0.00" sourceLinked="1"/>
        <c:majorTickMark val="none"/>
        <c:minorTickMark val="none"/>
        <c:tickLblPos val="nextTo"/>
        <c:txPr>
          <a:bodyPr/>
          <a:lstStyle/>
          <a:p>
            <a:pPr>
              <a:defRPr lang="es-ES"/>
            </a:pPr>
            <a:endParaRPr lang="es-EC"/>
          </a:p>
        </c:txPr>
        <c:crossAx val="325765864"/>
        <c:crosses val="autoZero"/>
        <c:crossBetween val="between"/>
      </c:valAx>
    </c:plotArea>
    <c:plotVisOnly val="1"/>
    <c:dispBlanksAs val="gap"/>
    <c:showDLblsOverMax val="0"/>
  </c:chart>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TOTAL DE CONCENTRACION 2010</a:t>
            </a:r>
          </a:p>
        </c:rich>
      </c:tx>
      <c:overlay val="0"/>
    </c:title>
    <c:autoTitleDeleted val="0"/>
    <c:plotArea>
      <c:layout/>
      <c:pieChart>
        <c:varyColors val="1"/>
        <c:ser>
          <c:idx val="0"/>
          <c:order val="0"/>
          <c:dLbls>
            <c:spPr>
              <a:noFill/>
              <a:ln>
                <a:noFill/>
              </a:ln>
              <a:effectLst/>
            </c:spPr>
            <c:txPr>
              <a:bodyPr/>
              <a:lstStyle/>
              <a:p>
                <a:pPr>
                  <a:defRPr lang="es-ES_tradnl"/>
                </a:pPr>
                <a:endParaRPr lang="es-EC"/>
              </a:p>
            </c:txPr>
            <c:showLegendKey val="0"/>
            <c:showVal val="0"/>
            <c:showCatName val="0"/>
            <c:showSerName val="0"/>
            <c:showPercent val="1"/>
            <c:showBubbleSize val="0"/>
            <c:showLeaderLines val="0"/>
            <c:extLst>
              <c:ext xmlns:c15="http://schemas.microsoft.com/office/drawing/2012/chart" uri="{CE6537A1-D6FC-4f65-9D91-7224C49458BB}"/>
            </c:extLst>
          </c:dLbls>
          <c:val>
            <c:numRef>
              <c:f>'PRODUCTOS QUIMICOS'!$J$25:$K$25</c:f>
              <c:numCache>
                <c:formatCode>0%</c:formatCode>
                <c:ptCount val="2"/>
                <c:pt idx="0">
                  <c:v>8.6900000000000047E-2</c:v>
                </c:pt>
                <c:pt idx="1">
                  <c:v>0.9790000000000012</c:v>
                </c:pt>
              </c:numCache>
            </c:numRef>
          </c:val>
        </c:ser>
        <c:dLbls>
          <c:showLegendKey val="0"/>
          <c:showVal val="0"/>
          <c:showCatName val="0"/>
          <c:showSerName val="0"/>
          <c:showPercent val="1"/>
          <c:showBubbleSize val="0"/>
          <c:showLeaderLines val="0"/>
        </c:dLbls>
        <c:firstSliceAng val="0"/>
      </c:pieChart>
    </c:plotArea>
    <c:plotVisOnly val="1"/>
    <c:dispBlanksAs val="zero"/>
    <c:showDLblsOverMax val="0"/>
  </c:chart>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GUAYAQUIL 2009</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QUIMICOS'!$B$119:$B$122</c:f>
              <c:strCache>
                <c:ptCount val="4"/>
                <c:pt idx="0">
                  <c:v>GRUPO FARMA </c:v>
                </c:pt>
                <c:pt idx="1">
                  <c:v>BRENNTAG DEL ECUADOR</c:v>
                </c:pt>
                <c:pt idx="2">
                  <c:v> INDEUREC S.A</c:v>
                </c:pt>
                <c:pt idx="3">
                  <c:v> INDUNIDAS</c:v>
                </c:pt>
              </c:strCache>
            </c:strRef>
          </c:cat>
          <c:val>
            <c:numRef>
              <c:f>'PRODUCTOS QUIMICOS'!$E$119:$E$122</c:f>
              <c:numCache>
                <c:formatCode>0%</c:formatCode>
                <c:ptCount val="4"/>
                <c:pt idx="0">
                  <c:v>0.184331598429156</c:v>
                </c:pt>
                <c:pt idx="1">
                  <c:v>0.61154018134986299</c:v>
                </c:pt>
                <c:pt idx="2">
                  <c:v>0.19071151079630305</c:v>
                </c:pt>
                <c:pt idx="3">
                  <c:v>1.3416709424677202E-2</c:v>
                </c:pt>
              </c:numCache>
            </c:numRef>
          </c:val>
        </c:ser>
        <c:dLbls>
          <c:showLegendKey val="0"/>
          <c:showVal val="0"/>
          <c:showCatName val="0"/>
          <c:showSerName val="0"/>
          <c:showPercent val="0"/>
          <c:showBubbleSize val="0"/>
        </c:dLbls>
        <c:gapWidth val="150"/>
        <c:shape val="box"/>
        <c:axId val="372890064"/>
        <c:axId val="372880656"/>
        <c:axId val="0"/>
      </c:bar3DChart>
      <c:catAx>
        <c:axId val="372890064"/>
        <c:scaling>
          <c:orientation val="minMax"/>
        </c:scaling>
        <c:delete val="0"/>
        <c:axPos val="b"/>
        <c:numFmt formatCode="General" sourceLinked="0"/>
        <c:majorTickMark val="none"/>
        <c:minorTickMark val="none"/>
        <c:tickLblPos val="nextTo"/>
        <c:txPr>
          <a:bodyPr/>
          <a:lstStyle/>
          <a:p>
            <a:pPr>
              <a:defRPr lang="es-ES"/>
            </a:pPr>
            <a:endParaRPr lang="es-EC"/>
          </a:p>
        </c:txPr>
        <c:crossAx val="372880656"/>
        <c:crosses val="autoZero"/>
        <c:auto val="1"/>
        <c:lblAlgn val="ctr"/>
        <c:lblOffset val="100"/>
        <c:noMultiLvlLbl val="0"/>
      </c:catAx>
      <c:valAx>
        <c:axId val="372880656"/>
        <c:scaling>
          <c:orientation val="minMax"/>
        </c:scaling>
        <c:delete val="0"/>
        <c:axPos val="l"/>
        <c:majorGridlines/>
        <c:numFmt formatCode="0%" sourceLinked="1"/>
        <c:majorTickMark val="none"/>
        <c:minorTickMark val="none"/>
        <c:tickLblPos val="nextTo"/>
        <c:txPr>
          <a:bodyPr/>
          <a:lstStyle/>
          <a:p>
            <a:pPr>
              <a:defRPr lang="es-ES"/>
            </a:pPr>
            <a:endParaRPr lang="es-EC"/>
          </a:p>
        </c:txPr>
        <c:crossAx val="372890064"/>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GUAYAQUIL 2009</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QUIMICOS'!$B$119:$B$122</c:f>
              <c:strCache>
                <c:ptCount val="4"/>
                <c:pt idx="0">
                  <c:v>GRUPO FARMA </c:v>
                </c:pt>
                <c:pt idx="1">
                  <c:v>BRENNTAG DEL ECUADOR</c:v>
                </c:pt>
                <c:pt idx="2">
                  <c:v> INDEUREC S.A</c:v>
                </c:pt>
                <c:pt idx="3">
                  <c:v> INDUNIDAS</c:v>
                </c:pt>
              </c:strCache>
            </c:strRef>
          </c:cat>
          <c:val>
            <c:numRef>
              <c:f>'PRODUCTOS QUIMICOS'!$F$119:$F$122</c:f>
              <c:numCache>
                <c:formatCode>0.00</c:formatCode>
                <c:ptCount val="4"/>
                <c:pt idx="0">
                  <c:v>3.3978138179447809E-2</c:v>
                </c:pt>
                <c:pt idx="1">
                  <c:v>0.37398139340542513</c:v>
                </c:pt>
                <c:pt idx="2">
                  <c:v>3.6370880350208405E-2</c:v>
                </c:pt>
                <c:pt idx="3">
                  <c:v>1.800080917862211E-4</c:v>
                </c:pt>
              </c:numCache>
            </c:numRef>
          </c:val>
        </c:ser>
        <c:dLbls>
          <c:showLegendKey val="0"/>
          <c:showVal val="1"/>
          <c:showCatName val="0"/>
          <c:showSerName val="0"/>
          <c:showPercent val="0"/>
          <c:showBubbleSize val="0"/>
        </c:dLbls>
        <c:gapWidth val="150"/>
        <c:shape val="box"/>
        <c:axId val="372878696"/>
        <c:axId val="372881048"/>
        <c:axId val="0"/>
      </c:bar3DChart>
      <c:catAx>
        <c:axId val="372878696"/>
        <c:scaling>
          <c:orientation val="minMax"/>
        </c:scaling>
        <c:delete val="0"/>
        <c:axPos val="l"/>
        <c:numFmt formatCode="General" sourceLinked="0"/>
        <c:majorTickMark val="none"/>
        <c:minorTickMark val="none"/>
        <c:tickLblPos val="nextTo"/>
        <c:txPr>
          <a:bodyPr/>
          <a:lstStyle/>
          <a:p>
            <a:pPr>
              <a:defRPr lang="es-ES"/>
            </a:pPr>
            <a:endParaRPr lang="es-EC"/>
          </a:p>
        </c:txPr>
        <c:crossAx val="372881048"/>
        <c:crosses val="autoZero"/>
        <c:auto val="1"/>
        <c:lblAlgn val="ctr"/>
        <c:lblOffset val="100"/>
        <c:noMultiLvlLbl val="0"/>
      </c:catAx>
      <c:valAx>
        <c:axId val="372881048"/>
        <c:scaling>
          <c:orientation val="minMax"/>
        </c:scaling>
        <c:delete val="1"/>
        <c:axPos val="b"/>
        <c:numFmt formatCode="0.00" sourceLinked="1"/>
        <c:majorTickMark val="out"/>
        <c:minorTickMark val="none"/>
        <c:tickLblPos val="none"/>
        <c:crossAx val="372878696"/>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PORCENTAJE DE CONCENTRACION 2010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QUIMICOS'!$B$119:$B$122</c:f>
              <c:strCache>
                <c:ptCount val="4"/>
                <c:pt idx="0">
                  <c:v>GRUPO FARMA </c:v>
                </c:pt>
                <c:pt idx="1">
                  <c:v>BRENNTAG DEL ECUADOR</c:v>
                </c:pt>
                <c:pt idx="2">
                  <c:v> INDEUREC S.A</c:v>
                </c:pt>
                <c:pt idx="3">
                  <c:v> INDUNIDAS</c:v>
                </c:pt>
              </c:strCache>
            </c:strRef>
          </c:cat>
          <c:val>
            <c:numRef>
              <c:f>'PRODUCTOS QUIMICOS'!$G$119:$G$122</c:f>
              <c:numCache>
                <c:formatCode>0%</c:formatCode>
                <c:ptCount val="4"/>
                <c:pt idx="0">
                  <c:v>0.163286724079828</c:v>
                </c:pt>
                <c:pt idx="1">
                  <c:v>0.66461236375694277</c:v>
                </c:pt>
                <c:pt idx="2">
                  <c:v>0.162302671543329</c:v>
                </c:pt>
                <c:pt idx="3">
                  <c:v>9.7982406198994527E-3</c:v>
                </c:pt>
              </c:numCache>
            </c:numRef>
          </c:val>
        </c:ser>
        <c:dLbls>
          <c:showLegendKey val="0"/>
          <c:showVal val="1"/>
          <c:showCatName val="0"/>
          <c:showSerName val="0"/>
          <c:showPercent val="0"/>
          <c:showBubbleSize val="0"/>
        </c:dLbls>
        <c:gapWidth val="150"/>
        <c:shape val="box"/>
        <c:axId val="372879480"/>
        <c:axId val="372877912"/>
        <c:axId val="0"/>
      </c:bar3DChart>
      <c:catAx>
        <c:axId val="372879480"/>
        <c:scaling>
          <c:orientation val="minMax"/>
        </c:scaling>
        <c:delete val="0"/>
        <c:axPos val="b"/>
        <c:numFmt formatCode="General" sourceLinked="0"/>
        <c:majorTickMark val="none"/>
        <c:minorTickMark val="none"/>
        <c:tickLblPos val="nextTo"/>
        <c:txPr>
          <a:bodyPr/>
          <a:lstStyle/>
          <a:p>
            <a:pPr>
              <a:defRPr lang="es-ES"/>
            </a:pPr>
            <a:endParaRPr lang="es-EC"/>
          </a:p>
        </c:txPr>
        <c:crossAx val="372877912"/>
        <c:crosses val="autoZero"/>
        <c:auto val="1"/>
        <c:lblAlgn val="ctr"/>
        <c:lblOffset val="100"/>
        <c:noMultiLvlLbl val="0"/>
      </c:catAx>
      <c:valAx>
        <c:axId val="372877912"/>
        <c:scaling>
          <c:orientation val="minMax"/>
        </c:scaling>
        <c:delete val="1"/>
        <c:axPos val="l"/>
        <c:numFmt formatCode="0%" sourceLinked="1"/>
        <c:majorTickMark val="out"/>
        <c:minorTickMark val="none"/>
        <c:tickLblPos val="none"/>
        <c:crossAx val="372879480"/>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n-US"/>
              <a:t>CONCENTRACION DE 2010</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'PRODUCTOS QUIMICOS'!$B$119:$B$122</c:f>
              <c:strCache>
                <c:ptCount val="4"/>
                <c:pt idx="0">
                  <c:v>GRUPO FARMA </c:v>
                </c:pt>
                <c:pt idx="1">
                  <c:v>BRENNTAG DEL ECUADOR</c:v>
                </c:pt>
                <c:pt idx="2">
                  <c:v> INDEUREC S.A</c:v>
                </c:pt>
                <c:pt idx="3">
                  <c:v> INDUNIDAS</c:v>
                </c:pt>
              </c:strCache>
            </c:strRef>
          </c:cat>
          <c:val>
            <c:numRef>
              <c:f>'PRODUCTOS QUIMICOS'!$H$119:$H$122</c:f>
              <c:numCache>
                <c:formatCode>0.00</c:formatCode>
                <c:ptCount val="4"/>
                <c:pt idx="0">
                  <c:v>2.6662554260721706E-2</c:v>
                </c:pt>
                <c:pt idx="1">
                  <c:v>0.44170959405859189</c:v>
                </c:pt>
                <c:pt idx="2">
                  <c:v>2.6342157190101807E-2</c:v>
                </c:pt>
                <c:pt idx="3">
                  <c:v>9.6005519245447542E-5</c:v>
                </c:pt>
              </c:numCache>
            </c:numRef>
          </c:val>
        </c:ser>
        <c:dLbls>
          <c:showLegendKey val="0"/>
          <c:showVal val="1"/>
          <c:showCatName val="0"/>
          <c:showSerName val="0"/>
          <c:showPercent val="0"/>
          <c:showBubbleSize val="0"/>
        </c:dLbls>
        <c:gapWidth val="150"/>
        <c:shape val="box"/>
        <c:axId val="372882224"/>
        <c:axId val="372883008"/>
        <c:axId val="0"/>
      </c:bar3DChart>
      <c:catAx>
        <c:axId val="372882224"/>
        <c:scaling>
          <c:orientation val="minMax"/>
        </c:scaling>
        <c:delete val="0"/>
        <c:axPos val="l"/>
        <c:numFmt formatCode="General" sourceLinked="0"/>
        <c:majorTickMark val="none"/>
        <c:minorTickMark val="none"/>
        <c:tickLblPos val="nextTo"/>
        <c:txPr>
          <a:bodyPr/>
          <a:lstStyle/>
          <a:p>
            <a:pPr>
              <a:defRPr lang="es-ES"/>
            </a:pPr>
            <a:endParaRPr lang="es-EC"/>
          </a:p>
        </c:txPr>
        <c:crossAx val="372883008"/>
        <c:crosses val="autoZero"/>
        <c:auto val="1"/>
        <c:lblAlgn val="ctr"/>
        <c:lblOffset val="100"/>
        <c:noMultiLvlLbl val="0"/>
      </c:catAx>
      <c:valAx>
        <c:axId val="372883008"/>
        <c:scaling>
          <c:orientation val="minMax"/>
        </c:scaling>
        <c:delete val="1"/>
        <c:axPos val="b"/>
        <c:numFmt formatCode="0.00" sourceLinked="1"/>
        <c:majorTickMark val="out"/>
        <c:minorTickMark val="none"/>
        <c:tickLblPos val="none"/>
        <c:crossAx val="372882224"/>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S"/>
              <a:t>CONCENTRACIÓN</a:t>
            </a:r>
            <a:r>
              <a:rPr lang="es-ES" baseline="0"/>
              <a:t> DE ACTIVO 2009 GUAYAQUIL</a:t>
            </a:r>
            <a:endParaRPr lang="es-ES"/>
          </a:p>
        </c:rich>
      </c:tx>
      <c:overlay val="0"/>
    </c:title>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dLbls>
            <c:dLbl>
              <c:idx val="0"/>
              <c:layout>
                <c:manualLayout>
                  <c:x val="0"/>
                  <c:y val="-0.23529411764705901"/>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9.0196078431372659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0"/>
                  <c:y val="-7.0422535211267623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6.6666666666666707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2.3894862604540005E-3"/>
                  <c:y val="-6.6510172143974908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2.3894862604540005E-3"/>
                  <c:y val="-3.9123630672926415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2.6246719160105008E-3"/>
                  <c:y val="-7.0588235294117702E-2"/>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0"/>
                  <c:y val="-5.0860719874804408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3894862604540907E-3"/>
                  <c:y val="-7.0422535211267623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0"/>
                  <c:y val="-6.6666666666666707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'clinicas y hos'!$B$135:$B$144</c:f>
              <c:strCache>
                <c:ptCount val="10"/>
                <c:pt idx="0">
                  <c:v>SALUDCOOP</c:v>
                </c:pt>
                <c:pt idx="1">
                  <c:v>CENTRO  FETALPRONATAL </c:v>
                </c:pt>
                <c:pt idx="2">
                  <c:v>CLINICA PANAMERICANA </c:v>
                </c:pt>
                <c:pt idx="3">
                  <c:v>CLINICA SANTAMARIA</c:v>
                </c:pt>
                <c:pt idx="4">
                  <c:v>CLINICA SAN LUIS </c:v>
                </c:pt>
                <c:pt idx="5">
                  <c:v>CLINICA PARKER</c:v>
                </c:pt>
                <c:pt idx="6">
                  <c:v>INREUMI</c:v>
                </c:pt>
                <c:pt idx="7">
                  <c:v>CLIMEDINOR</c:v>
                </c:pt>
                <c:pt idx="8">
                  <c:v>COMPARASAD </c:v>
                </c:pt>
                <c:pt idx="9">
                  <c:v>CERNIMED</c:v>
                </c:pt>
              </c:strCache>
            </c:strRef>
          </c:cat>
          <c:val>
            <c:numRef>
              <c:f>'clinicas y hos'!$G$135:$G$144</c:f>
              <c:numCache>
                <c:formatCode>0.00</c:formatCode>
                <c:ptCount val="10"/>
                <c:pt idx="0">
                  <c:v>6909.3476311223249</c:v>
                </c:pt>
                <c:pt idx="1">
                  <c:v>5.0425352193510147</c:v>
                </c:pt>
                <c:pt idx="2">
                  <c:v>0</c:v>
                </c:pt>
                <c:pt idx="3">
                  <c:v>111.62395713872294</c:v>
                </c:pt>
                <c:pt idx="4">
                  <c:v>0.10723757108453304</c:v>
                </c:pt>
                <c:pt idx="5">
                  <c:v>0</c:v>
                </c:pt>
                <c:pt idx="6">
                  <c:v>2.5207726883053376</c:v>
                </c:pt>
                <c:pt idx="7">
                  <c:v>0</c:v>
                </c:pt>
                <c:pt idx="8">
                  <c:v>0.10102576514308603</c:v>
                </c:pt>
                <c:pt idx="9">
                  <c:v>3.3625298012985438</c:v>
                </c:pt>
              </c:numCache>
            </c:numRef>
          </c:val>
        </c:ser>
        <c:dLbls>
          <c:showLegendKey val="0"/>
          <c:showVal val="1"/>
          <c:showCatName val="0"/>
          <c:showSerName val="0"/>
          <c:showPercent val="0"/>
          <c:showBubbleSize val="0"/>
        </c:dLbls>
        <c:gapWidth val="95"/>
        <c:gapDepth val="95"/>
        <c:shape val="box"/>
        <c:axId val="325768216"/>
        <c:axId val="325767040"/>
        <c:axId val="0"/>
      </c:bar3DChart>
      <c:catAx>
        <c:axId val="325768216"/>
        <c:scaling>
          <c:orientation val="minMax"/>
        </c:scaling>
        <c:delete val="0"/>
        <c:axPos val="b"/>
        <c:numFmt formatCode="General" sourceLinked="0"/>
        <c:majorTickMark val="none"/>
        <c:minorTickMark val="none"/>
        <c:tickLblPos val="nextTo"/>
        <c:txPr>
          <a:bodyPr/>
          <a:lstStyle/>
          <a:p>
            <a:pPr>
              <a:defRPr lang="es-ES"/>
            </a:pPr>
            <a:endParaRPr lang="es-EC"/>
          </a:p>
        </c:txPr>
        <c:crossAx val="325767040"/>
        <c:crosses val="autoZero"/>
        <c:auto val="1"/>
        <c:lblAlgn val="ctr"/>
        <c:lblOffset val="100"/>
        <c:noMultiLvlLbl val="0"/>
      </c:catAx>
      <c:valAx>
        <c:axId val="325767040"/>
        <c:scaling>
          <c:orientation val="minMax"/>
        </c:scaling>
        <c:delete val="1"/>
        <c:axPos val="l"/>
        <c:numFmt formatCode="0.00" sourceLinked="1"/>
        <c:majorTickMark val="out"/>
        <c:minorTickMark val="none"/>
        <c:tickLblPos val="none"/>
        <c:crossAx val="325768216"/>
        <c:crosses val="autoZero"/>
        <c:crossBetween val="between"/>
      </c:valAx>
    </c:plotArea>
    <c:legend>
      <c:legendPos val="t"/>
      <c:overlay val="0"/>
      <c:txPr>
        <a:bodyPr/>
        <a:lstStyle/>
        <a:p>
          <a:pPr>
            <a:defRPr lang="es-ES"/>
          </a:pPr>
          <a:endParaRPr lang="es-EC"/>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s-ES"/>
            </a:pPr>
            <a:r>
              <a:rPr lang="es-EC"/>
              <a:t>CONCENTRACIÓN DEL ACTIVO 2010</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invertIfNegative val="0"/>
          <c:dLbls>
            <c:spPr>
              <a:noFill/>
              <a:ln>
                <a:noFill/>
              </a:ln>
              <a:effectLst/>
            </c:spPr>
            <c:txPr>
              <a:bodyPr/>
              <a:lstStyle/>
              <a:p>
                <a:pPr>
                  <a:defRPr lang="es-ES"/>
                </a:pPr>
                <a:endParaRPr lang="es-EC"/>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ACTIVOS!$B$135:$B$144</c:f>
              <c:strCache>
                <c:ptCount val="10"/>
                <c:pt idx="0">
                  <c:v>SALUDCOOP</c:v>
                </c:pt>
                <c:pt idx="1">
                  <c:v>CENTRO  FETALPRONATAL </c:v>
                </c:pt>
                <c:pt idx="2">
                  <c:v>CLINICA PANAMERICANA </c:v>
                </c:pt>
                <c:pt idx="3">
                  <c:v>CLINICA SANTAMARIA</c:v>
                </c:pt>
                <c:pt idx="4">
                  <c:v>CLINICA SAN LUIS </c:v>
                </c:pt>
                <c:pt idx="5">
                  <c:v>CLINICA PARKER</c:v>
                </c:pt>
                <c:pt idx="6">
                  <c:v>INREUMI</c:v>
                </c:pt>
                <c:pt idx="7">
                  <c:v>CLIMEDINOR</c:v>
                </c:pt>
                <c:pt idx="8">
                  <c:v>COMPARASAD </c:v>
                </c:pt>
                <c:pt idx="9">
                  <c:v>CERNIMED</c:v>
                </c:pt>
              </c:strCache>
            </c:strRef>
          </c:cat>
          <c:val>
            <c:numRef>
              <c:f>ACTIVOS!$F$135:$F$144</c:f>
              <c:numCache>
                <c:formatCode>0.00</c:formatCode>
                <c:ptCount val="10"/>
                <c:pt idx="0">
                  <c:v>2909.8106708137238</c:v>
                </c:pt>
                <c:pt idx="1">
                  <c:v>3.9772537577526186</c:v>
                </c:pt>
                <c:pt idx="2">
                  <c:v>1006.6036447526142</c:v>
                </c:pt>
                <c:pt idx="3">
                  <c:v>122.0174412559833</c:v>
                </c:pt>
                <c:pt idx="4">
                  <c:v>8.4683515389724698E-2</c:v>
                </c:pt>
                <c:pt idx="5">
                  <c:v>0</c:v>
                </c:pt>
                <c:pt idx="6">
                  <c:v>0.38848027078944541</c:v>
                </c:pt>
                <c:pt idx="7">
                  <c:v>0</c:v>
                </c:pt>
                <c:pt idx="8">
                  <c:v>1.9598493380801104E-2</c:v>
                </c:pt>
                <c:pt idx="9">
                  <c:v>5.5500205758222197E-2</c:v>
                </c:pt>
              </c:numCache>
            </c:numRef>
          </c:val>
        </c:ser>
        <c:dLbls>
          <c:showLegendKey val="0"/>
          <c:showVal val="0"/>
          <c:showCatName val="0"/>
          <c:showSerName val="0"/>
          <c:showPercent val="0"/>
          <c:showBubbleSize val="0"/>
        </c:dLbls>
        <c:gapWidth val="150"/>
        <c:shape val="box"/>
        <c:axId val="325769000"/>
        <c:axId val="325770568"/>
        <c:axId val="0"/>
      </c:bar3DChart>
      <c:catAx>
        <c:axId val="325769000"/>
        <c:scaling>
          <c:orientation val="minMax"/>
        </c:scaling>
        <c:delete val="0"/>
        <c:axPos val="b"/>
        <c:title>
          <c:tx>
            <c:rich>
              <a:bodyPr/>
              <a:lstStyle/>
              <a:p>
                <a:pPr>
                  <a:defRPr lang="es-ES"/>
                </a:pPr>
                <a:r>
                  <a:rPr lang="en-US"/>
                  <a:t>CLINICAS Y HOSPITALES</a:t>
                </a:r>
              </a:p>
            </c:rich>
          </c:tx>
          <c:overlay val="0"/>
        </c:title>
        <c:numFmt formatCode="General" sourceLinked="0"/>
        <c:majorTickMark val="none"/>
        <c:minorTickMark val="none"/>
        <c:tickLblPos val="nextTo"/>
        <c:txPr>
          <a:bodyPr/>
          <a:lstStyle/>
          <a:p>
            <a:pPr>
              <a:defRPr lang="es-ES"/>
            </a:pPr>
            <a:endParaRPr lang="es-EC"/>
          </a:p>
        </c:txPr>
        <c:crossAx val="325770568"/>
        <c:crosses val="autoZero"/>
        <c:auto val="1"/>
        <c:lblAlgn val="ctr"/>
        <c:lblOffset val="100"/>
        <c:noMultiLvlLbl val="0"/>
      </c:catAx>
      <c:valAx>
        <c:axId val="325770568"/>
        <c:scaling>
          <c:orientation val="minMax"/>
        </c:scaling>
        <c:delete val="0"/>
        <c:axPos val="l"/>
        <c:majorGridlines/>
        <c:title>
          <c:tx>
            <c:rich>
              <a:bodyPr/>
              <a:lstStyle/>
              <a:p>
                <a:pPr>
                  <a:defRPr lang="es-ES"/>
                </a:pPr>
                <a:r>
                  <a:rPr lang="en-US"/>
                  <a:t>HH1 2010</a:t>
                </a:r>
              </a:p>
            </c:rich>
          </c:tx>
          <c:overlay val="0"/>
        </c:title>
        <c:numFmt formatCode="0.00" sourceLinked="1"/>
        <c:majorTickMark val="out"/>
        <c:minorTickMark val="none"/>
        <c:tickLblPos val="nextTo"/>
        <c:txPr>
          <a:bodyPr/>
          <a:lstStyle/>
          <a:p>
            <a:pPr>
              <a:defRPr lang="es-ES"/>
            </a:pPr>
            <a:endParaRPr lang="es-EC"/>
          </a:p>
        </c:txPr>
        <c:crossAx val="325769000"/>
        <c:crosses val="autoZero"/>
        <c:crossBetween val="between"/>
      </c:valAx>
    </c:plotArea>
    <c:legend>
      <c:legendPos val="r"/>
      <c:overlay val="0"/>
      <c:txPr>
        <a:bodyPr/>
        <a:lstStyle/>
        <a:p>
          <a:pPr>
            <a:defRPr lang="es-ES"/>
          </a:pPr>
          <a:endParaRPr lang="es-EC"/>
        </a:p>
      </c:txPr>
    </c:legend>
    <c:plotVisOnly val="1"/>
    <c:dispBlanksAs val="gap"/>
    <c:showDLblsOverMax val="0"/>
  </c:chart>
  <c:externalData r:id="rId1">
    <c:autoUpdate val="0"/>
  </c:externalData>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0.05404</cdr:x>
      <cdr:y>0.69633</cdr:y>
    </cdr:from>
    <cdr:to>
      <cdr:x>0.95901</cdr:x>
      <cdr:y>1</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76225" y="1605068"/>
          <a:ext cx="4625975" cy="699982"/>
        </a:xfrm>
        <a:prstGeom xmlns:a="http://schemas.openxmlformats.org/drawingml/2006/main" prst="rect">
          <a:avLst/>
        </a:prstGeom>
      </cdr:spPr>
    </cdr:pic>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22925</Words>
  <Characters>126093</Characters>
  <Application>Microsoft Office Word</Application>
  <DocSecurity>0</DocSecurity>
  <Lines>1050</Lines>
  <Paragraphs>297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Capítulo 3</vt:lpstr>
      <vt:lpstr>Capítulo 3</vt:lpstr>
    </vt:vector>
  </TitlesOfParts>
  <Company>Fos</Company>
  <LinksUpToDate>false</LinksUpToDate>
  <CharactersWithSpaces>148721</CharactersWithSpaces>
  <SharedDoc>false</SharedDoc>
  <HLinks>
    <vt:vector size="12" baseType="variant">
      <vt:variant>
        <vt:i4>6946866</vt:i4>
      </vt:variant>
      <vt:variant>
        <vt:i4>0</vt:i4>
      </vt:variant>
      <vt:variant>
        <vt:i4>0</vt:i4>
      </vt:variant>
      <vt:variant>
        <vt:i4>5</vt:i4>
      </vt:variant>
      <vt:variant>
        <vt:lpwstr>http://www.wb.org/ecuador/proyectos</vt:lpwstr>
      </vt:variant>
      <vt:variant>
        <vt:lpwstr/>
      </vt:variant>
      <vt:variant>
        <vt:i4>2949167</vt:i4>
      </vt:variant>
      <vt:variant>
        <vt:i4>0</vt:i4>
      </vt:variant>
      <vt:variant>
        <vt:i4>0</vt:i4>
      </vt:variant>
      <vt:variant>
        <vt:i4>5</vt:i4>
      </vt:variant>
      <vt:variant>
        <vt:lpwstr>http://www.estade.org/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Capítulo 3</dc:title>
  <dc:creator>Windows</dc:creator>
  <cp:lastModifiedBy>juan cuvi</cp:lastModifiedBy>
  <cp:revision>2</cp:revision>
  <dcterms:created xsi:type="dcterms:W3CDTF">2014-08-20T22:00:00Z</dcterms:created>
  <dcterms:modified xsi:type="dcterms:W3CDTF">2014-08-20T22:00:00Z</dcterms:modified>
</cp:coreProperties>
</file>