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0B3" w:rsidRPr="00F567BF" w:rsidRDefault="00764E83" w:rsidP="00764E83">
      <w:pPr>
        <w:jc w:val="center"/>
        <w:rPr>
          <w:b/>
        </w:rPr>
      </w:pPr>
      <w:r w:rsidRPr="00F567BF">
        <w:rPr>
          <w:b/>
        </w:rPr>
        <w:t>FOS – SOLIDARIDAD SOCIALISTA</w:t>
      </w:r>
    </w:p>
    <w:p w:rsidR="00764E83" w:rsidRPr="00F567BF" w:rsidRDefault="00764E83" w:rsidP="00764E83">
      <w:pPr>
        <w:jc w:val="center"/>
        <w:rPr>
          <w:b/>
        </w:rPr>
      </w:pPr>
    </w:p>
    <w:p w:rsidR="00764E83" w:rsidRPr="00F567BF" w:rsidRDefault="00764E83" w:rsidP="00764E83">
      <w:pPr>
        <w:jc w:val="center"/>
        <w:rPr>
          <w:b/>
        </w:rPr>
      </w:pPr>
      <w:r w:rsidRPr="00F567BF">
        <w:rPr>
          <w:b/>
        </w:rPr>
        <w:t>ESTADO DE SITUACIÓN DE LA PROTECCIÓN SOCIAL EN ECUADOR</w:t>
      </w:r>
    </w:p>
    <w:p w:rsidR="00764E83" w:rsidRDefault="00764E83" w:rsidP="00764E83">
      <w:pPr>
        <w:jc w:val="center"/>
      </w:pPr>
    </w:p>
    <w:p w:rsidR="00764E83" w:rsidRDefault="00764E83" w:rsidP="00764E83">
      <w:pPr>
        <w:jc w:val="center"/>
      </w:pPr>
    </w:p>
    <w:p w:rsidR="00764E83" w:rsidRPr="00F567BF" w:rsidRDefault="00C530EF" w:rsidP="00764E83">
      <w:pPr>
        <w:rPr>
          <w:b/>
        </w:rPr>
      </w:pPr>
      <w:r w:rsidRPr="00F567BF">
        <w:rPr>
          <w:b/>
        </w:rPr>
        <w:t>Antecedentes</w:t>
      </w:r>
      <w:r>
        <w:rPr>
          <w:b/>
        </w:rPr>
        <w:t xml:space="preserve"> y referencias teóricas.</w:t>
      </w:r>
    </w:p>
    <w:p w:rsidR="00764E83" w:rsidRDefault="00764E83" w:rsidP="00764E83"/>
    <w:p w:rsidR="00764E83" w:rsidRDefault="00764E83" w:rsidP="00764E83">
      <w:r>
        <w:tab/>
        <w:t>La protección social integral y progresiva es un desafío para América Latina, sobre todo por las profundas desigualdades, la exclusión y la marginalidad que subsisten en práct</w:t>
      </w:r>
      <w:r w:rsidR="007C27A0">
        <w:t>icamente todos los países del s</w:t>
      </w:r>
      <w:r>
        <w:t>ubcontinente. La brecha entre ricos y pobres</w:t>
      </w:r>
      <w:r w:rsidR="007C27A0">
        <w:t xml:space="preserve"> </w:t>
      </w:r>
      <w:r>
        <w:t>sigue</w:t>
      </w:r>
      <w:r w:rsidR="007C27A0">
        <w:t xml:space="preserve"> </w:t>
      </w:r>
      <w:r>
        <w:t>siendo la mayor a escala planetaria, sin</w:t>
      </w:r>
      <w:r w:rsidR="007C27A0">
        <w:t xml:space="preserve"> </w:t>
      </w:r>
      <w:r w:rsidR="00965168">
        <w:t>que hasta la fecha se hayan</w:t>
      </w:r>
      <w:r>
        <w:t xml:space="preserve"> podid</w:t>
      </w:r>
      <w:r w:rsidR="007C27A0">
        <w:t>o alterar las condiciones estru</w:t>
      </w:r>
      <w:r>
        <w:t>cturales que la provocan. La sucesiva imposición de modelos económicos acondicionados a las necesidad</w:t>
      </w:r>
      <w:r w:rsidR="007C27A0">
        <w:t>es del capitalismo global no ha</w:t>
      </w:r>
      <w:r w:rsidR="00965168">
        <w:t xml:space="preserve"> hecho más que agravar</w:t>
      </w:r>
      <w:r>
        <w:t xml:space="preserve"> estas condiciones, afectando de manera particular a las poblaciones más vulnerables y desprotegidas.</w:t>
      </w:r>
    </w:p>
    <w:p w:rsidR="00764E83" w:rsidRDefault="00764E83" w:rsidP="00764E83">
      <w:r>
        <w:tab/>
        <w:t xml:space="preserve">La imposibilidad de dar soluciones efectivas y duraderas a esta problemática ha obligado a reformular </w:t>
      </w:r>
      <w:r w:rsidR="007C27A0">
        <w:t>varias de las propuest</w:t>
      </w:r>
      <w:r w:rsidR="00C22625">
        <w:t xml:space="preserve">as que en su momento fueron concebidas como las alternativas para combatir estas desigualdades. Una de ellas es la de seguridad social, entendida como la prestación de </w:t>
      </w:r>
      <w:r w:rsidR="002E0E14">
        <w:t xml:space="preserve">un paquete de servicios a </w:t>
      </w:r>
      <w:r w:rsidR="007C27A0">
        <w:t>ciertos</w:t>
      </w:r>
      <w:r w:rsidR="002E0E14">
        <w:t xml:space="preserve"> segmentos de la población. El propio proceso de exclusión progresiva de la masa laboral de los circuitos formales </w:t>
      </w:r>
      <w:r w:rsidR="00A91073">
        <w:t xml:space="preserve">de trabajo </w:t>
      </w:r>
      <w:r w:rsidR="002E0E14">
        <w:t>evidenció las limitaciones de este modelo. La mayor parte de la población en América Latina ha permanecido, en  forma sistemática, al margen de esta cobertura. Al mismo tiempo, las reiteradas crisis económicas que han golpeado al subcontinente colocaron en el centro de las preocupaciones el tema de la sostenibilidad del modelo. Inclusive la población afiliada a la seguridad social ha padecido el deterioro de los servicios y la restricción a ciertas prestaciones</w:t>
      </w:r>
      <w:r w:rsidR="008877DA">
        <w:t>,</w:t>
      </w:r>
      <w:r w:rsidR="002E0E14">
        <w:t xml:space="preserve"> como las pensiones o los créditos.</w:t>
      </w:r>
    </w:p>
    <w:p w:rsidR="002E0E14" w:rsidRDefault="002E0E14" w:rsidP="00764E83">
      <w:r>
        <w:tab/>
        <w:t>En el caso ecuatoriano, algunas de estas deficiencias han podido resolverse gracias a la bonanza económica experimentada durante los últimos años</w:t>
      </w:r>
      <w:r w:rsidR="00FA5ED6">
        <w:t>,</w:t>
      </w:r>
      <w:r>
        <w:t xml:space="preserve"> </w:t>
      </w:r>
      <w:r w:rsidR="00947421">
        <w:t>mas</w:t>
      </w:r>
      <w:r w:rsidR="00FA5ED6">
        <w:t xml:space="preserve"> no por</w:t>
      </w:r>
      <w:r>
        <w:t xml:space="preserve"> la restructuración del sistema de seguridad social. Gracias a la </w:t>
      </w:r>
      <w:r w:rsidR="007C27A0">
        <w:t>disponibilidad</w:t>
      </w:r>
      <w:r>
        <w:t xml:space="preserve"> de ingresos fiscales se ha podido extender la cobertura de </w:t>
      </w:r>
      <w:r w:rsidR="00A96867">
        <w:t>algunas prestac</w:t>
      </w:r>
      <w:r w:rsidR="007C27A0">
        <w:t>iones a otros grupos poblaciona</w:t>
      </w:r>
      <w:r w:rsidR="00A96867">
        <w:t>les, pero sin incrementar sustancialmente ni los aportantes ni la capacidad institucional. Aunque estas medidas han logrado paliar algunas necesidades de l</w:t>
      </w:r>
      <w:r w:rsidR="007C27A0">
        <w:t>a gente, es innegable que la ma</w:t>
      </w:r>
      <w:r w:rsidR="00A96867">
        <w:t>yor</w:t>
      </w:r>
      <w:r w:rsidR="0081320E">
        <w:t xml:space="preserve"> parte de la población continúa</w:t>
      </w:r>
      <w:r w:rsidR="00A96867">
        <w:t xml:space="preserve"> viviendo en medio de la </w:t>
      </w:r>
      <w:r w:rsidR="007C27A0">
        <w:t>fragilidad</w:t>
      </w:r>
      <w:r w:rsidR="00A96867">
        <w:t xml:space="preserve"> e incertidumbre.</w:t>
      </w:r>
    </w:p>
    <w:p w:rsidR="00A96867" w:rsidRDefault="00A96867" w:rsidP="00764E83">
      <w:r>
        <w:tab/>
      </w:r>
      <w:r w:rsidR="006A72CB">
        <w:t xml:space="preserve">La idea de la protección social </w:t>
      </w:r>
      <w:r w:rsidR="007C27A0">
        <w:t>nació</w:t>
      </w:r>
      <w:r w:rsidR="006A72CB">
        <w:t xml:space="preserve"> </w:t>
      </w:r>
      <w:r w:rsidR="000532BD">
        <w:t>por</w:t>
      </w:r>
      <w:r w:rsidR="006A72CB">
        <w:t xml:space="preserve"> la necesidad de asumir esta problemática desde una visión</w:t>
      </w:r>
      <w:r w:rsidR="007C27A0">
        <w:t xml:space="preserve"> </w:t>
      </w:r>
      <w:r w:rsidR="006A72CB">
        <w:t xml:space="preserve">más integral y estructurada. Se busca no solo aplicar políticas que </w:t>
      </w:r>
      <w:r w:rsidR="007C27A0">
        <w:t>respondan</w:t>
      </w:r>
      <w:r w:rsidR="006A72CB">
        <w:t xml:space="preserve"> en</w:t>
      </w:r>
      <w:r w:rsidR="007C27A0">
        <w:t xml:space="preserve"> </w:t>
      </w:r>
      <w:r w:rsidR="006A72CB">
        <w:t xml:space="preserve">conjunto a las necesidades de la </w:t>
      </w:r>
      <w:r w:rsidR="007E6B42">
        <w:t>gente</w:t>
      </w:r>
      <w:r w:rsidR="006A72CB">
        <w:t>,</w:t>
      </w:r>
      <w:r w:rsidR="007C27A0">
        <w:t xml:space="preserve"> </w:t>
      </w:r>
      <w:r w:rsidR="006A72CB">
        <w:t>sino que</w:t>
      </w:r>
      <w:r w:rsidR="007C27A0">
        <w:t xml:space="preserve"> asuman a </w:t>
      </w:r>
      <w:r w:rsidR="007E6B42">
        <w:t>la población de cada país</w:t>
      </w:r>
      <w:r w:rsidR="006A72CB">
        <w:t xml:space="preserve"> en su totalidad. En ese sentido, se trata de una iniciativa que se</w:t>
      </w:r>
      <w:r w:rsidR="00666CAF">
        <w:t xml:space="preserve"> proyecta en forma simultánea a los</w:t>
      </w:r>
      <w:r w:rsidR="006A72CB">
        <w:t xml:space="preserve"> plano</w:t>
      </w:r>
      <w:r w:rsidR="00666CAF">
        <w:t>s intensivo y</w:t>
      </w:r>
      <w:r w:rsidR="006A72CB">
        <w:t xml:space="preserve"> extensivo: incrementar los </w:t>
      </w:r>
      <w:r w:rsidR="007C27A0">
        <w:t>servicios</w:t>
      </w:r>
      <w:r w:rsidR="006A72CB">
        <w:t xml:space="preserve"> y ampliar la cobertura. Desde esta lógica, el acceso permanente y sostenido de ingresos </w:t>
      </w:r>
      <w:r w:rsidR="007C27A0">
        <w:t>para toda la población se convi</w:t>
      </w:r>
      <w:r w:rsidR="006A72CB">
        <w:t>erte en un componente fundamental de la</w:t>
      </w:r>
      <w:r w:rsidR="007C27A0">
        <w:t xml:space="preserve"> protección social, porque es la</w:t>
      </w:r>
      <w:r w:rsidR="006A72CB">
        <w:t xml:space="preserve"> única estrategia que permite superar</w:t>
      </w:r>
      <w:r w:rsidR="007C27A0">
        <w:t xml:space="preserve"> el esquema de subsidios direc</w:t>
      </w:r>
      <w:r w:rsidR="006A72CB">
        <w:t>tos</w:t>
      </w:r>
      <w:r w:rsidR="00FE4C70">
        <w:t>,</w:t>
      </w:r>
      <w:r w:rsidR="006A72CB">
        <w:t xml:space="preserve"> que no solo genera una inaceptable relación de depe</w:t>
      </w:r>
      <w:r w:rsidR="007C27A0">
        <w:t>n</w:t>
      </w:r>
      <w:r w:rsidR="006A72CB">
        <w:t>denci</w:t>
      </w:r>
      <w:r w:rsidR="007C27A0">
        <w:t>a de la población frente al Est</w:t>
      </w:r>
      <w:r w:rsidR="00FE4C70">
        <w:t>ado</w:t>
      </w:r>
      <w:r w:rsidR="006A72CB">
        <w:t xml:space="preserve"> sino que está constantemente amenazado por</w:t>
      </w:r>
      <w:r w:rsidR="007C27A0">
        <w:t xml:space="preserve"> </w:t>
      </w:r>
      <w:r w:rsidR="006A72CB">
        <w:t>las</w:t>
      </w:r>
      <w:r w:rsidR="007C27A0">
        <w:t xml:space="preserve"> </w:t>
      </w:r>
      <w:r w:rsidR="006A72CB">
        <w:t>cont</w:t>
      </w:r>
      <w:r w:rsidR="007C27A0">
        <w:t>ingen</w:t>
      </w:r>
      <w:r w:rsidR="006A72CB">
        <w:t>cias</w:t>
      </w:r>
      <w:r w:rsidR="007C27A0">
        <w:t xml:space="preserve"> </w:t>
      </w:r>
      <w:r w:rsidR="006A72CB">
        <w:t>políticas.</w:t>
      </w:r>
    </w:p>
    <w:p w:rsidR="006A72CB" w:rsidRDefault="006A72CB" w:rsidP="00764E83">
      <w:r>
        <w:tab/>
      </w:r>
      <w:r w:rsidR="00FA6E57">
        <w:t xml:space="preserve">Según </w:t>
      </w:r>
      <w:proofErr w:type="spellStart"/>
      <w:r w:rsidR="00FA6E57">
        <w:t>Cecchini</w:t>
      </w:r>
      <w:proofErr w:type="spellEnd"/>
      <w:r w:rsidR="00FA6E57">
        <w:t xml:space="preserve"> y Martínez</w:t>
      </w:r>
      <w:r w:rsidR="00F6085E">
        <w:t xml:space="preserve"> (2011)</w:t>
      </w:r>
      <w:r w:rsidR="00FA6E57">
        <w:t>, “</w:t>
      </w:r>
      <w:r w:rsidR="00FA6E57" w:rsidRPr="00FA6E57">
        <w:t xml:space="preserve">la protección social ha de ser comprendida como un sistema integral que debe ser universal en cuanto a cobertura, solidario en el financiamiento e igualitario en las garantías como derechos ciudadanos. Desde esta perspectiva, la protección social tiene por objetivo garantizar un ingreso que permita mantener niveles mínimos de calidad de vida para el desarrollo de las personas; posibilitar el acceso a servicios sociales y de promoción, y procurar la universalización del trabajo </w:t>
      </w:r>
      <w:r w:rsidR="00FA6E57" w:rsidRPr="00FA6E57">
        <w:lastRenderedPageBreak/>
        <w:t>decente teniendo la focalización como un instrumento y la universalidad como el fin</w:t>
      </w:r>
      <w:r w:rsidR="00FA6E57">
        <w:t>”</w:t>
      </w:r>
      <w:r w:rsidR="005B037F">
        <w:rPr>
          <w:rStyle w:val="Refdenotaalpie"/>
        </w:rPr>
        <w:footnoteReference w:id="1"/>
      </w:r>
      <w:r w:rsidR="00FA6E57" w:rsidRPr="00FA6E57">
        <w:t>.</w:t>
      </w:r>
      <w:r w:rsidR="007D5454">
        <w:t xml:space="preserve"> </w:t>
      </w:r>
      <w:r w:rsidR="00907DF9">
        <w:t xml:space="preserve">Para lograrlo, estos autores plantean una serie de medidas y condiciones basadas fundamentalmente en </w:t>
      </w:r>
      <w:r w:rsidR="000C3812">
        <w:t xml:space="preserve">el acceso de la población </w:t>
      </w:r>
      <w:r w:rsidR="00907DF9">
        <w:t>a un trabajo digno y bien remunerado.</w:t>
      </w:r>
      <w:r w:rsidR="00CD54E4">
        <w:t xml:space="preserve"> En ese sentido, uno de lo</w:t>
      </w:r>
      <w:r w:rsidR="000C3812">
        <w:t>s</w:t>
      </w:r>
      <w:r w:rsidR="00CD54E4">
        <w:t xml:space="preserve"> objetivos que se persigue es la</w:t>
      </w:r>
      <w:r w:rsidR="008B2909">
        <w:t xml:space="preserve"> superación</w:t>
      </w:r>
      <w:r w:rsidR="00CD54E4">
        <w:t xml:space="preserve"> de la vieja dicotomía entre seguridad social –entendida como la cobertura a los empleados formales– y la asistencia social –entend</w:t>
      </w:r>
      <w:r w:rsidR="008B2909">
        <w:t>ida como el paternalismo defici</w:t>
      </w:r>
      <w:r w:rsidR="00CD54E4">
        <w:t>tario para los trabajadores informales y la población marginal–.</w:t>
      </w:r>
    </w:p>
    <w:p w:rsidR="00CD54E4" w:rsidRDefault="00CD54E4" w:rsidP="00B43C6C">
      <w:r>
        <w:tab/>
      </w:r>
      <w:r w:rsidR="00EE663E">
        <w:t>En el año 2012, un Grupo consultivo de la OIT</w:t>
      </w:r>
      <w:r w:rsidR="00837579">
        <w:rPr>
          <w:rStyle w:val="Refdenotaalpie"/>
        </w:rPr>
        <w:footnoteReference w:id="2"/>
      </w:r>
      <w:r w:rsidR="00EE663E">
        <w:t xml:space="preserve"> elaboró la noción de P</w:t>
      </w:r>
      <w:r w:rsidR="00B43C6C">
        <w:t>iso de Protección Social como “un</w:t>
      </w:r>
      <w:r w:rsidR="008B2909">
        <w:t xml:space="preserve"> </w:t>
      </w:r>
      <w:r w:rsidR="00B43C6C">
        <w:t>conjunto integrado de políticas sociales diseñado para garantizar a toda persona la seguridad de los ingresos y el acceso a los servicios sociales esenciales, prestando especial ate</w:t>
      </w:r>
      <w:r w:rsidR="008B2909">
        <w:t xml:space="preserve">nción a los grupos vulnerables </w:t>
      </w:r>
      <w:r w:rsidR="00B43C6C">
        <w:t xml:space="preserve">y protegiendo y empoderando a las personas a lo largo del ciclo de vida”. </w:t>
      </w:r>
      <w:r w:rsidR="00AF7A3D">
        <w:t>Esta definición incluye dos garantías:</w:t>
      </w:r>
    </w:p>
    <w:p w:rsidR="00AF7A3D" w:rsidRDefault="00AF7A3D" w:rsidP="00B43C6C"/>
    <w:p w:rsidR="00AF7A3D" w:rsidRPr="00621229" w:rsidRDefault="00AF7A3D" w:rsidP="00621229">
      <w:pPr>
        <w:pStyle w:val="Prrafodelista"/>
        <w:numPr>
          <w:ilvl w:val="0"/>
          <w:numId w:val="1"/>
        </w:numPr>
        <w:autoSpaceDE w:val="0"/>
        <w:autoSpaceDN w:val="0"/>
        <w:adjustRightInd w:val="0"/>
        <w:contextualSpacing/>
        <w:jc w:val="both"/>
        <w:rPr>
          <w:lang w:val="es-EC"/>
        </w:rPr>
      </w:pPr>
      <w:r w:rsidRPr="00621229">
        <w:rPr>
          <w:b/>
          <w:lang w:val="es-EC"/>
        </w:rPr>
        <w:t>seguridad básica de los ingresos</w:t>
      </w:r>
      <w:r w:rsidRPr="00621229">
        <w:rPr>
          <w:lang w:val="es-EC"/>
        </w:rPr>
        <w:t>, mediante diversas formas de transferencias sociales (en efectivo o en especie), tales como pensiones para los adultos mayores o para las personas con discapacidades, prestaciones por hijos a cargo, apoyo a los ingresos y/o garantías y servicios relativos al empleo para las personas desempleadas y los trabajadores pobres;</w:t>
      </w:r>
    </w:p>
    <w:p w:rsidR="00AF7A3D" w:rsidRPr="00621229" w:rsidRDefault="00AF7A3D" w:rsidP="00AF7A3D">
      <w:pPr>
        <w:pStyle w:val="Prrafodelista"/>
        <w:numPr>
          <w:ilvl w:val="0"/>
          <w:numId w:val="2"/>
        </w:numPr>
      </w:pPr>
      <w:r w:rsidRPr="00621229">
        <w:rPr>
          <w:b/>
        </w:rPr>
        <w:t>acceso universal y asequibilidad a servicios sociales esenciales</w:t>
      </w:r>
      <w:r w:rsidRPr="00621229">
        <w:t xml:space="preserve"> en los ámbitos de la salud, el agua y el saneamiento, la educación, la seguridad alimentaria, la vivienda y otras esferas definidas en las prioridades nacionales.</w:t>
      </w:r>
    </w:p>
    <w:p w:rsidR="00621229" w:rsidRPr="00621229" w:rsidRDefault="00621229" w:rsidP="00621229">
      <w:pPr>
        <w:rPr>
          <w:rFonts w:cs="Times New Roman"/>
          <w:szCs w:val="24"/>
        </w:rPr>
      </w:pPr>
    </w:p>
    <w:p w:rsidR="009C2208" w:rsidRPr="009C2208" w:rsidRDefault="00516BE6" w:rsidP="00516BE6">
      <w:pPr>
        <w:autoSpaceDE w:val="0"/>
        <w:autoSpaceDN w:val="0"/>
        <w:adjustRightInd w:val="0"/>
        <w:rPr>
          <w:rFonts w:ascii="GaramondPremrPro" w:hAnsi="GaramondPremrPro" w:cs="GaramondPremrPro"/>
          <w:szCs w:val="24"/>
        </w:rPr>
      </w:pPr>
      <w:r>
        <w:rPr>
          <w:rFonts w:ascii="GaramondPremrPro" w:hAnsi="GaramondPremrPro" w:cs="GaramondPremrPro"/>
          <w:szCs w:val="24"/>
        </w:rPr>
        <w:t>El Grupo recomienda una serie de principios y modalidades</w:t>
      </w:r>
      <w:r w:rsidR="001378C9">
        <w:rPr>
          <w:rFonts w:ascii="GaramondPremrPro" w:hAnsi="GaramondPremrPro" w:cs="GaramondPremrPro"/>
          <w:szCs w:val="24"/>
        </w:rPr>
        <w:t>:</w:t>
      </w:r>
    </w:p>
    <w:p w:rsidR="00516BE6" w:rsidRDefault="00516BE6" w:rsidP="00516BE6">
      <w:pPr>
        <w:autoSpaceDE w:val="0"/>
        <w:autoSpaceDN w:val="0"/>
        <w:adjustRightInd w:val="0"/>
        <w:rPr>
          <w:rFonts w:ascii="Universal-NewswithCommPi" w:hAnsi="Universal-NewswithCommPi" w:cs="Universal-NewswithCommPi"/>
          <w:szCs w:val="24"/>
        </w:rPr>
      </w:pP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Combinar los objetivos de prevención de la pobreza y de protección frente a los</w:t>
      </w:r>
      <w:r w:rsidR="00516BE6" w:rsidRPr="00AF47C5">
        <w:rPr>
          <w:rFonts w:ascii="GaramondPremrPro" w:hAnsi="GaramondPremrPro" w:cs="GaramondPremrPro"/>
        </w:rPr>
        <w:t xml:space="preserve"> </w:t>
      </w:r>
      <w:r w:rsidRPr="00AF47C5">
        <w:rPr>
          <w:rFonts w:ascii="GaramondPremrPro" w:hAnsi="GaramondPremrPro" w:cs="GaramondPremrPro"/>
        </w:rPr>
        <w:t>riesgos sociales, empoderando así a los individuos para aprovechar las oportunidades</w:t>
      </w:r>
      <w:r w:rsidR="00516BE6" w:rsidRPr="00AF47C5">
        <w:rPr>
          <w:rFonts w:ascii="GaramondPremrPro" w:hAnsi="GaramondPremrPro" w:cs="GaramondPremrPro"/>
        </w:rPr>
        <w:t xml:space="preserve"> </w:t>
      </w:r>
      <w:r w:rsidRPr="00AF47C5">
        <w:rPr>
          <w:rFonts w:ascii="GaramondPremrPro" w:hAnsi="GaramondPremrPro" w:cs="GaramondPremrPro"/>
        </w:rPr>
        <w:t>de empleo decente e iniciativa empresarial.</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Un proceso gradual y progresivo de implementación por fases basado en los</w:t>
      </w:r>
      <w:r w:rsidR="00516BE6" w:rsidRPr="00AF47C5">
        <w:rPr>
          <w:rFonts w:ascii="GaramondPremrPro" w:hAnsi="GaramondPremrPro" w:cs="GaramondPremrPro"/>
        </w:rPr>
        <w:t xml:space="preserve"> </w:t>
      </w:r>
      <w:r w:rsidRPr="00AF47C5">
        <w:rPr>
          <w:rFonts w:ascii="GaramondPremrPro" w:hAnsi="GaramondPremrPro" w:cs="GaramondPremrPro"/>
        </w:rPr>
        <w:t>sistemas ya existentes y que respete las prioridades nacionales y las limitaciones</w:t>
      </w:r>
      <w:r w:rsidR="00516BE6" w:rsidRPr="00AF47C5">
        <w:rPr>
          <w:rFonts w:ascii="GaramondPremrPro" w:hAnsi="GaramondPremrPro" w:cs="GaramondPremrPro"/>
        </w:rPr>
        <w:t xml:space="preserve"> </w:t>
      </w:r>
      <w:r w:rsidRPr="00AF47C5">
        <w:rPr>
          <w:rFonts w:ascii="GaramondPremrPro" w:hAnsi="GaramondPremrPro" w:cs="GaramondPremrPro"/>
        </w:rPr>
        <w:t>fiscales.</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Coordinación y coherencia entre los programas sociales. En particular, y</w:t>
      </w:r>
      <w:r w:rsidR="00516BE6" w:rsidRPr="00AF47C5">
        <w:rPr>
          <w:rFonts w:ascii="GaramondPremrPro" w:hAnsi="GaramondPremrPro" w:cs="GaramondPremrPro"/>
        </w:rPr>
        <w:t xml:space="preserve"> </w:t>
      </w:r>
      <w:r w:rsidRPr="00AF47C5">
        <w:rPr>
          <w:rFonts w:ascii="GaramondPremrPro" w:hAnsi="GaramondPremrPro" w:cs="GaramondPremrPro"/>
        </w:rPr>
        <w:t>dentro de una perspectiva que tenga en cuenta el desarrollo humano a lo largo</w:t>
      </w:r>
      <w:r w:rsidR="00516BE6" w:rsidRPr="00AF47C5">
        <w:rPr>
          <w:rFonts w:ascii="GaramondPremrPro" w:hAnsi="GaramondPremrPro" w:cs="GaramondPremrPro"/>
        </w:rPr>
        <w:t xml:space="preserve"> </w:t>
      </w:r>
      <w:r w:rsidRPr="00AF47C5">
        <w:rPr>
          <w:rFonts w:ascii="GaramondPremrPro" w:hAnsi="GaramondPremrPro" w:cs="GaramondPremrPro"/>
        </w:rPr>
        <w:t>de todo el ciclo vital, el Piso Social debería abordar las vulnerabilidades que</w:t>
      </w:r>
      <w:r w:rsidR="00516BE6" w:rsidRPr="00AF47C5">
        <w:rPr>
          <w:rFonts w:ascii="GaramondPremrPro" w:hAnsi="GaramondPremrPro" w:cs="GaramondPremrPro"/>
        </w:rPr>
        <w:t xml:space="preserve"> </w:t>
      </w:r>
      <w:r w:rsidRPr="00AF47C5">
        <w:rPr>
          <w:rFonts w:ascii="GaramondPremrPro" w:hAnsi="GaramondPremrPro" w:cs="GaramondPremrPro"/>
        </w:rPr>
        <w:t>afectan a las personas de diferentes edades y condiciones socioeconómicas, y</w:t>
      </w:r>
      <w:r w:rsidR="00516BE6" w:rsidRPr="00AF47C5">
        <w:rPr>
          <w:rFonts w:ascii="GaramondPremrPro" w:hAnsi="GaramondPremrPro" w:cs="GaramondPremrPro"/>
        </w:rPr>
        <w:t xml:space="preserve"> </w:t>
      </w:r>
      <w:r w:rsidRPr="00AF47C5">
        <w:rPr>
          <w:rFonts w:ascii="GaramondPremrPro" w:hAnsi="GaramondPremrPro" w:cs="GaramondPremrPro"/>
        </w:rPr>
        <w:t>debería interpretarse como un marco para desarrollar intervenciones coordinadas</w:t>
      </w:r>
      <w:r w:rsidR="00516BE6" w:rsidRPr="00AF47C5">
        <w:rPr>
          <w:rFonts w:ascii="GaramondPremrPro" w:hAnsi="GaramondPremrPro" w:cs="GaramondPremrPro"/>
        </w:rPr>
        <w:t xml:space="preserve"> </w:t>
      </w:r>
      <w:r w:rsidRPr="00AF47C5">
        <w:rPr>
          <w:rFonts w:ascii="GaramondPremrPro" w:hAnsi="GaramondPremrPro" w:cs="GaramondPremrPro"/>
        </w:rPr>
        <w:t>en los hogares con el objetivo de abordar las causas multidimensionales</w:t>
      </w:r>
      <w:r w:rsidR="00516BE6" w:rsidRPr="00AF47C5">
        <w:rPr>
          <w:rFonts w:ascii="GaramondPremrPro" w:hAnsi="GaramondPremrPro" w:cs="GaramondPremrPro"/>
        </w:rPr>
        <w:t xml:space="preserve"> </w:t>
      </w:r>
      <w:r w:rsidRPr="00AF47C5">
        <w:rPr>
          <w:rFonts w:ascii="GaramondPremrPro" w:hAnsi="GaramondPremrPro" w:cs="GaramondPremrPro"/>
        </w:rPr>
        <w:t>de la pobreza y la exclusión social y de liberar la capacidad productiva.</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Combinar las transferencias de ingresos con los objetivos relacionados con la</w:t>
      </w:r>
      <w:r w:rsidR="00A4004F" w:rsidRPr="00AF47C5">
        <w:rPr>
          <w:rFonts w:ascii="GaramondPremrPro" w:hAnsi="GaramondPremrPro" w:cs="GaramondPremrPro"/>
        </w:rPr>
        <w:t xml:space="preserve"> </w:t>
      </w:r>
      <w:r w:rsidRPr="00AF47C5">
        <w:rPr>
          <w:rFonts w:ascii="GaramondPremrPro" w:hAnsi="GaramondPremrPro" w:cs="GaramondPremrPro"/>
        </w:rPr>
        <w:t>educación, la nutrición y la salud para promover el desarrollo humano.</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Combinar las funciones de sustitución del ingreso con políticas activas de mercado</w:t>
      </w:r>
      <w:r w:rsidR="00A4004F" w:rsidRPr="00AF47C5">
        <w:rPr>
          <w:rFonts w:ascii="GaramondPremrPro" w:hAnsi="GaramondPremrPro" w:cs="GaramondPremrPro"/>
        </w:rPr>
        <w:t xml:space="preserve"> </w:t>
      </w:r>
      <w:r w:rsidRPr="00AF47C5">
        <w:rPr>
          <w:rFonts w:ascii="GaramondPremrPro" w:hAnsi="GaramondPremrPro" w:cs="GaramondPremrPro"/>
        </w:rPr>
        <w:t>de trabajo, así como con ayudas e incentivos para promover la participación</w:t>
      </w:r>
      <w:r w:rsidR="00A4004F" w:rsidRPr="00AF47C5">
        <w:rPr>
          <w:rFonts w:ascii="GaramondPremrPro" w:hAnsi="GaramondPremrPro" w:cs="GaramondPremrPro"/>
        </w:rPr>
        <w:t xml:space="preserve"> </w:t>
      </w:r>
      <w:r w:rsidRPr="00AF47C5">
        <w:rPr>
          <w:rFonts w:ascii="GaramondPremrPro" w:hAnsi="GaramondPremrPro" w:cs="GaramondPremrPro"/>
        </w:rPr>
        <w:t>en el mercado de trabajo formal.</w:t>
      </w:r>
    </w:p>
    <w:p w:rsidR="00A4004F"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Minimizar los desincentivos a la participación en el mercado de trabajo.</w:t>
      </w:r>
    </w:p>
    <w:p w:rsidR="009C2208" w:rsidRPr="00AF47C5" w:rsidRDefault="00A4004F"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lastRenderedPageBreak/>
        <w:t>A</w:t>
      </w:r>
      <w:r w:rsidR="009C2208" w:rsidRPr="00AF47C5">
        <w:rPr>
          <w:rFonts w:ascii="GaramondPremrPro" w:hAnsi="GaramondPremrPro" w:cs="GaramondPremrPro"/>
        </w:rPr>
        <w:t>segurar la asequibilidad económica y la sostenibilidad fiscal a largo plazo,</w:t>
      </w:r>
      <w:r w:rsidRPr="00AF47C5">
        <w:rPr>
          <w:rFonts w:ascii="GaramondPremrPro" w:hAnsi="GaramondPremrPro" w:cs="GaramondPremrPro"/>
        </w:rPr>
        <w:t xml:space="preserve"> </w:t>
      </w:r>
      <w:r w:rsidR="009C2208" w:rsidRPr="00AF47C5">
        <w:rPr>
          <w:rFonts w:ascii="GaramondPremrPro" w:hAnsi="GaramondPremrPro" w:cs="GaramondPremrPro"/>
        </w:rPr>
        <w:t xml:space="preserve">que deberían basarse en fuentes nacionales de </w:t>
      </w:r>
      <w:proofErr w:type="gramStart"/>
      <w:r w:rsidR="009C2208" w:rsidRPr="00AF47C5">
        <w:rPr>
          <w:rFonts w:ascii="GaramondPremrPro" w:hAnsi="GaramondPremrPro" w:cs="GaramondPremrPro"/>
        </w:rPr>
        <w:t>financiación predecibles y sostenibles</w:t>
      </w:r>
      <w:proofErr w:type="gramEnd"/>
      <w:r w:rsidR="009C2208" w:rsidRPr="00AF47C5">
        <w:rPr>
          <w:rFonts w:ascii="GaramondPremrPro" w:hAnsi="GaramondPremrPro" w:cs="GaramondPremrPro"/>
        </w:rPr>
        <w:t>,</w:t>
      </w:r>
      <w:r w:rsidRPr="00AF47C5">
        <w:rPr>
          <w:rFonts w:ascii="GaramondPremrPro" w:hAnsi="GaramondPremrPro" w:cs="GaramondPremrPro"/>
        </w:rPr>
        <w:t xml:space="preserve"> </w:t>
      </w:r>
      <w:r w:rsidR="009C2208" w:rsidRPr="00AF47C5">
        <w:rPr>
          <w:rFonts w:ascii="GaramondPremrPro" w:hAnsi="GaramondPremrPro" w:cs="GaramondPremrPro"/>
        </w:rPr>
        <w:t>reconociendo al mismo tiempo que la solidaridad internacional, bajo la</w:t>
      </w:r>
      <w:r w:rsidRPr="00AF47C5">
        <w:rPr>
          <w:rFonts w:ascii="GaramondPremrPro" w:hAnsi="GaramondPremrPro" w:cs="GaramondPremrPro"/>
        </w:rPr>
        <w:t xml:space="preserve"> </w:t>
      </w:r>
      <w:r w:rsidR="009C2208" w:rsidRPr="00AF47C5">
        <w:rPr>
          <w:rFonts w:ascii="GaramondPremrPro" w:hAnsi="GaramondPremrPro" w:cs="GaramondPremrPro"/>
        </w:rPr>
        <w:t>forma de una financiación compartida de los costos, puede ser necesaria para</w:t>
      </w:r>
      <w:r w:rsidRPr="00AF47C5">
        <w:rPr>
          <w:rFonts w:ascii="GaramondPremrPro" w:hAnsi="GaramondPremrPro" w:cs="GaramondPremrPro"/>
        </w:rPr>
        <w:t xml:space="preserve"> </w:t>
      </w:r>
      <w:r w:rsidR="009C2208" w:rsidRPr="00AF47C5">
        <w:rPr>
          <w:rFonts w:ascii="GaramondPremrPro" w:hAnsi="GaramondPremrPro" w:cs="GaramondPremrPro"/>
        </w:rPr>
        <w:t>ayudar a poner en marcha el proceso en algunos países de ingresos bajos.</w:t>
      </w:r>
    </w:p>
    <w:p w:rsidR="009C2208" w:rsidRPr="00AF47C5" w:rsidRDefault="00A4004F" w:rsidP="00FA2077">
      <w:pPr>
        <w:pStyle w:val="Prrafodelista"/>
        <w:numPr>
          <w:ilvl w:val="0"/>
          <w:numId w:val="2"/>
        </w:numPr>
        <w:autoSpaceDE w:val="0"/>
        <w:autoSpaceDN w:val="0"/>
        <w:adjustRightInd w:val="0"/>
        <w:jc w:val="both"/>
        <w:rPr>
          <w:rFonts w:ascii="GaramondPremrPro" w:hAnsi="GaramondPremrPro" w:cs="GaramondPremrPro"/>
        </w:rPr>
      </w:pPr>
      <w:proofErr w:type="gramStart"/>
      <w:r w:rsidRPr="00AF47C5">
        <w:rPr>
          <w:rFonts w:ascii="GaramondPremrPro" w:hAnsi="GaramondPremrPro" w:cs="GaramondPremrPro"/>
        </w:rPr>
        <w:t>L</w:t>
      </w:r>
      <w:r w:rsidR="009C2208" w:rsidRPr="00AF47C5">
        <w:rPr>
          <w:rFonts w:ascii="GaramondPremrPro" w:hAnsi="GaramondPremrPro" w:cs="GaramondPremrPro"/>
        </w:rPr>
        <w:t xml:space="preserve">a coherencia entre las políticas sociales, </w:t>
      </w:r>
      <w:r w:rsidR="00FA2077">
        <w:rPr>
          <w:rFonts w:ascii="GaramondPremrPro" w:hAnsi="GaramondPremrPro" w:cs="GaramondPremrPro"/>
        </w:rPr>
        <w:t xml:space="preserve">de empleo, ambientales y </w:t>
      </w:r>
      <w:r w:rsidR="009C2208" w:rsidRPr="00AF47C5">
        <w:rPr>
          <w:rFonts w:ascii="GaramondPremrPro" w:hAnsi="GaramondPremrPro" w:cs="GaramondPremrPro"/>
        </w:rPr>
        <w:t>macroeconómicas</w:t>
      </w:r>
      <w:proofErr w:type="gramEnd"/>
      <w:r w:rsidRPr="00AF47C5">
        <w:rPr>
          <w:rFonts w:ascii="GaramondPremrPro" w:hAnsi="GaramondPremrPro" w:cs="GaramondPremrPro"/>
        </w:rPr>
        <w:t xml:space="preserve"> </w:t>
      </w:r>
      <w:r w:rsidR="009C2208" w:rsidRPr="00AF47C5">
        <w:rPr>
          <w:rFonts w:ascii="GaramondPremrPro" w:hAnsi="GaramondPremrPro" w:cs="GaramondPremrPro"/>
        </w:rPr>
        <w:t>como parte de una estrategia de desarrollo sostenible a largo plazo.</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Mantener un marco jurídico y normativo eficaz que establezca claramente los</w:t>
      </w:r>
      <w:r w:rsidR="00A4004F" w:rsidRPr="00AF47C5">
        <w:rPr>
          <w:rFonts w:ascii="GaramondPremrPro" w:hAnsi="GaramondPremrPro" w:cs="GaramondPremrPro"/>
        </w:rPr>
        <w:t xml:space="preserve"> </w:t>
      </w:r>
      <w:r w:rsidRPr="00AF47C5">
        <w:rPr>
          <w:rFonts w:ascii="GaramondPremrPro" w:hAnsi="GaramondPremrPro" w:cs="GaramondPremrPro"/>
        </w:rPr>
        <w:t>derechos y responsabilidades de todas las partes implicadas.</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Un marco institucional adecuado dotado de unos recursos presupuestarios</w:t>
      </w:r>
      <w:r w:rsidR="00A4004F" w:rsidRPr="00AF47C5">
        <w:rPr>
          <w:rFonts w:ascii="GaramondPremrPro" w:hAnsi="GaramondPremrPro" w:cs="GaramondPremrPro"/>
        </w:rPr>
        <w:t xml:space="preserve"> </w:t>
      </w:r>
      <w:r w:rsidRPr="00AF47C5">
        <w:rPr>
          <w:rFonts w:ascii="GaramondPremrPro" w:hAnsi="GaramondPremrPro" w:cs="GaramondPremrPro"/>
        </w:rPr>
        <w:t>suficientes, unos profesionales bien formados y unas normas de gobernanza</w:t>
      </w:r>
      <w:r w:rsidR="00A4004F" w:rsidRPr="00AF47C5">
        <w:rPr>
          <w:rFonts w:ascii="GaramondPremrPro" w:hAnsi="GaramondPremrPro" w:cs="GaramondPremrPro"/>
        </w:rPr>
        <w:t xml:space="preserve"> </w:t>
      </w:r>
      <w:r w:rsidRPr="00AF47C5">
        <w:rPr>
          <w:rFonts w:ascii="GaramondPremrPro" w:hAnsi="GaramondPremrPro" w:cs="GaramondPremrPro"/>
        </w:rPr>
        <w:t>eficaces con la participación de los interlocutores sociales y otros actores</w:t>
      </w:r>
      <w:r w:rsidR="00A4004F" w:rsidRPr="00AF47C5">
        <w:rPr>
          <w:rFonts w:ascii="GaramondPremrPro" w:hAnsi="GaramondPremrPro" w:cs="GaramondPremrPro"/>
        </w:rPr>
        <w:t xml:space="preserve"> </w:t>
      </w:r>
      <w:r w:rsidRPr="00AF47C5">
        <w:rPr>
          <w:rFonts w:ascii="GaramondPremrPro" w:hAnsi="GaramondPremrPro" w:cs="GaramondPremrPro"/>
        </w:rPr>
        <w:t>interesados.</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Garantizar mecanismos para promover la igualdad de género y apoyar el empoderamiento</w:t>
      </w:r>
      <w:r w:rsidR="00A4004F" w:rsidRPr="00AF47C5">
        <w:rPr>
          <w:rFonts w:ascii="GaramondPremrPro" w:hAnsi="GaramondPremrPro" w:cs="GaramondPremrPro"/>
        </w:rPr>
        <w:t xml:space="preserve"> </w:t>
      </w:r>
      <w:r w:rsidRPr="00AF47C5">
        <w:rPr>
          <w:rFonts w:ascii="GaramondPremrPro" w:hAnsi="GaramondPremrPro" w:cs="GaramondPremrPro"/>
        </w:rPr>
        <w:t>de la mujer.</w:t>
      </w:r>
    </w:p>
    <w:p w:rsidR="009C2208" w:rsidRPr="00AF47C5" w:rsidRDefault="009C2208" w:rsidP="00FA2077">
      <w:pPr>
        <w:pStyle w:val="Prrafodelista"/>
        <w:numPr>
          <w:ilvl w:val="0"/>
          <w:numId w:val="2"/>
        </w:numPr>
        <w:autoSpaceDE w:val="0"/>
        <w:autoSpaceDN w:val="0"/>
        <w:adjustRightInd w:val="0"/>
        <w:jc w:val="both"/>
        <w:rPr>
          <w:rFonts w:ascii="GaramondPremrPro" w:hAnsi="GaramondPremrPro" w:cs="GaramondPremrPro"/>
        </w:rPr>
      </w:pPr>
      <w:r w:rsidRPr="00AF47C5">
        <w:rPr>
          <w:rFonts w:ascii="GaramondPremrPro" w:hAnsi="GaramondPremrPro" w:cs="GaramondPremrPro"/>
        </w:rPr>
        <w:t>Un sistema eficaz de financiación de la salud que permita asegurar el acceso a</w:t>
      </w:r>
      <w:r w:rsidR="00A4004F" w:rsidRPr="00AF47C5">
        <w:rPr>
          <w:rFonts w:ascii="GaramondPremrPro" w:hAnsi="GaramondPremrPro" w:cs="GaramondPremrPro"/>
        </w:rPr>
        <w:t xml:space="preserve"> </w:t>
      </w:r>
      <w:r w:rsidRPr="00AF47C5">
        <w:rPr>
          <w:rFonts w:ascii="GaramondPremrPro" w:hAnsi="GaramondPremrPro" w:cs="GaramondPremrPro"/>
        </w:rPr>
        <w:t>unos servicios de salud necesarios de buena calidad.</w:t>
      </w:r>
    </w:p>
    <w:p w:rsidR="00AF47C5" w:rsidRDefault="00AF47C5" w:rsidP="00A4004F">
      <w:pPr>
        <w:autoSpaceDE w:val="0"/>
        <w:autoSpaceDN w:val="0"/>
        <w:adjustRightInd w:val="0"/>
        <w:rPr>
          <w:rFonts w:ascii="GaramondPremrPro" w:hAnsi="GaramondPremrPro" w:cs="GaramondPremrPro"/>
          <w:szCs w:val="24"/>
        </w:rPr>
      </w:pPr>
    </w:p>
    <w:p w:rsidR="00AF47C5" w:rsidRDefault="00AF47C5" w:rsidP="00F567BF">
      <w:pPr>
        <w:autoSpaceDE w:val="0"/>
        <w:autoSpaceDN w:val="0"/>
        <w:adjustRightInd w:val="0"/>
        <w:rPr>
          <w:rFonts w:ascii="GaramondPremrPro" w:hAnsi="GaramondPremrPro" w:cs="GaramondPremrPro"/>
          <w:szCs w:val="24"/>
        </w:rPr>
      </w:pPr>
    </w:p>
    <w:p w:rsidR="00F567BF" w:rsidRPr="00F567BF" w:rsidRDefault="00C530EF" w:rsidP="00F567BF">
      <w:pPr>
        <w:autoSpaceDE w:val="0"/>
        <w:autoSpaceDN w:val="0"/>
        <w:adjustRightInd w:val="0"/>
        <w:rPr>
          <w:rFonts w:ascii="GaramondPremrPro" w:hAnsi="GaramondPremrPro" w:cs="GaramondPremrPro"/>
          <w:b/>
          <w:szCs w:val="24"/>
        </w:rPr>
      </w:pPr>
      <w:r>
        <w:rPr>
          <w:rFonts w:ascii="GaramondPremrPro" w:hAnsi="GaramondPremrPro" w:cs="GaramondPremrPro"/>
          <w:b/>
          <w:szCs w:val="24"/>
        </w:rPr>
        <w:t>La situación en el E</w:t>
      </w:r>
      <w:r w:rsidRPr="00F567BF">
        <w:rPr>
          <w:rFonts w:ascii="GaramondPremrPro" w:hAnsi="GaramondPremrPro" w:cs="GaramondPremrPro"/>
          <w:b/>
          <w:szCs w:val="24"/>
        </w:rPr>
        <w:t>cuador</w:t>
      </w:r>
      <w:r>
        <w:rPr>
          <w:rFonts w:ascii="GaramondPremrPro" w:hAnsi="GaramondPremrPro" w:cs="GaramondPremrPro"/>
          <w:b/>
          <w:szCs w:val="24"/>
        </w:rPr>
        <w:t>.</w:t>
      </w:r>
    </w:p>
    <w:p w:rsidR="00F567BF" w:rsidRDefault="00F567BF" w:rsidP="00F567BF">
      <w:pPr>
        <w:autoSpaceDE w:val="0"/>
        <w:autoSpaceDN w:val="0"/>
        <w:adjustRightInd w:val="0"/>
        <w:rPr>
          <w:rFonts w:ascii="GaramondPremrPro" w:hAnsi="GaramondPremrPro" w:cs="GaramondPremrPro"/>
          <w:szCs w:val="24"/>
        </w:rPr>
      </w:pPr>
    </w:p>
    <w:p w:rsidR="00F14E95" w:rsidRDefault="00F567BF" w:rsidP="00566934">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566934">
        <w:rPr>
          <w:rFonts w:ascii="GaramondPremrPro" w:hAnsi="GaramondPremrPro" w:cs="GaramondPremrPro"/>
          <w:szCs w:val="24"/>
        </w:rPr>
        <w:t xml:space="preserve">A partir de 2008, el Ecuador ha experimentado </w:t>
      </w:r>
      <w:r w:rsidR="00AC0432">
        <w:rPr>
          <w:rFonts w:ascii="GaramondPremrPro" w:hAnsi="GaramondPremrPro" w:cs="GaramondPremrPro"/>
          <w:szCs w:val="24"/>
        </w:rPr>
        <w:t>un cambio significativo en cuant</w:t>
      </w:r>
      <w:r w:rsidR="00566934">
        <w:rPr>
          <w:rFonts w:ascii="GaramondPremrPro" w:hAnsi="GaramondPremrPro" w:cs="GaramondPremrPro"/>
          <w:szCs w:val="24"/>
        </w:rPr>
        <w:t xml:space="preserve">o a </w:t>
      </w:r>
      <w:r w:rsidR="00AC0432">
        <w:rPr>
          <w:rFonts w:ascii="GaramondPremrPro" w:hAnsi="GaramondPremrPro" w:cs="GaramondPremrPro"/>
          <w:szCs w:val="24"/>
        </w:rPr>
        <w:t xml:space="preserve">ciertas </w:t>
      </w:r>
      <w:r w:rsidR="00566934">
        <w:rPr>
          <w:rFonts w:ascii="GaramondPremrPro" w:hAnsi="GaramondPremrPro" w:cs="GaramondPremrPro"/>
          <w:szCs w:val="24"/>
        </w:rPr>
        <w:t>definici</w:t>
      </w:r>
      <w:r w:rsidR="00AC0432">
        <w:rPr>
          <w:rFonts w:ascii="GaramondPremrPro" w:hAnsi="GaramondPremrPro" w:cs="GaramondPremrPro"/>
          <w:szCs w:val="24"/>
        </w:rPr>
        <w:t xml:space="preserve">ones jurídico-políticas que norman </w:t>
      </w:r>
      <w:r w:rsidR="00566934">
        <w:rPr>
          <w:rFonts w:ascii="GaramondPremrPro" w:hAnsi="GaramondPremrPro" w:cs="GaramondPremrPro"/>
          <w:szCs w:val="24"/>
        </w:rPr>
        <w:t>la vida nacional. Por un</w:t>
      </w:r>
      <w:r w:rsidR="008B2909">
        <w:rPr>
          <w:rFonts w:ascii="GaramondPremrPro" w:hAnsi="GaramondPremrPro" w:cs="GaramondPremrPro"/>
          <w:szCs w:val="24"/>
        </w:rPr>
        <w:t xml:space="preserve"> </w:t>
      </w:r>
      <w:r w:rsidR="00566934">
        <w:rPr>
          <w:rFonts w:ascii="GaramondPremrPro" w:hAnsi="GaramondPremrPro" w:cs="GaramondPremrPro"/>
          <w:szCs w:val="24"/>
        </w:rPr>
        <w:t>lado se aprobó una nueva Constitución y,</w:t>
      </w:r>
      <w:r w:rsidR="008B2909">
        <w:rPr>
          <w:rFonts w:ascii="GaramondPremrPro" w:hAnsi="GaramondPremrPro" w:cs="GaramondPremrPro"/>
          <w:szCs w:val="24"/>
        </w:rPr>
        <w:t xml:space="preserve"> </w:t>
      </w:r>
      <w:r w:rsidR="00566934">
        <w:rPr>
          <w:rFonts w:ascii="GaramondPremrPro" w:hAnsi="GaramondPremrPro" w:cs="GaramondPremrPro"/>
          <w:szCs w:val="24"/>
        </w:rPr>
        <w:t>por otro, se</w:t>
      </w:r>
      <w:r w:rsidR="008B2909">
        <w:rPr>
          <w:rFonts w:ascii="GaramondPremrPro" w:hAnsi="GaramondPremrPro" w:cs="GaramondPremrPro"/>
          <w:szCs w:val="24"/>
        </w:rPr>
        <w:t xml:space="preserve"> </w:t>
      </w:r>
      <w:r w:rsidR="00566934">
        <w:rPr>
          <w:rFonts w:ascii="GaramondPremrPro" w:hAnsi="GaramondPremrPro" w:cs="GaramondPremrPro"/>
          <w:szCs w:val="24"/>
        </w:rPr>
        <w:t>puso en vigencia un nuevo programa de gobierno, el Plan Nacional del Buen Vivir 2013-2017</w:t>
      </w:r>
      <w:r w:rsidR="00FE762B">
        <w:rPr>
          <w:rFonts w:ascii="GaramondPremrPro" w:hAnsi="GaramondPremrPro" w:cs="GaramondPremrPro"/>
          <w:szCs w:val="24"/>
        </w:rPr>
        <w:t xml:space="preserve"> (PNBV)</w:t>
      </w:r>
      <w:r w:rsidR="00566934">
        <w:rPr>
          <w:rFonts w:ascii="GaramondPremrPro" w:hAnsi="GaramondPremrPro" w:cs="GaramondPremrPro"/>
          <w:szCs w:val="24"/>
        </w:rPr>
        <w:t>, cuyo referente epistemológico central es el Sumak Kawsay, acogiendo el  mandato constitucional. Para analizar el tema de la protección social es necesario, por lo señalado, remitirse a estos dos documentos como marcos teóricos generales.</w:t>
      </w:r>
    </w:p>
    <w:p w:rsidR="00566934" w:rsidRDefault="00566934" w:rsidP="00566934">
      <w:pPr>
        <w:autoSpaceDE w:val="0"/>
        <w:autoSpaceDN w:val="0"/>
        <w:adjustRightInd w:val="0"/>
        <w:rPr>
          <w:rFonts w:ascii="GaramondPremrPro" w:hAnsi="GaramondPremrPro" w:cs="GaramondPremrPro"/>
          <w:szCs w:val="24"/>
        </w:rPr>
      </w:pPr>
    </w:p>
    <w:p w:rsidR="00160CD6" w:rsidRDefault="00160CD6" w:rsidP="00566934">
      <w:pPr>
        <w:autoSpaceDE w:val="0"/>
        <w:autoSpaceDN w:val="0"/>
        <w:adjustRightInd w:val="0"/>
        <w:rPr>
          <w:rFonts w:ascii="GaramondPremrPro" w:hAnsi="GaramondPremrPro" w:cs="GaramondPremrPro"/>
          <w:szCs w:val="24"/>
        </w:rPr>
      </w:pPr>
    </w:p>
    <w:p w:rsidR="00566934" w:rsidRPr="00EE66AF" w:rsidRDefault="00566934" w:rsidP="00566934">
      <w:pPr>
        <w:autoSpaceDE w:val="0"/>
        <w:autoSpaceDN w:val="0"/>
        <w:adjustRightInd w:val="0"/>
        <w:rPr>
          <w:rFonts w:ascii="GaramondPremrPro" w:hAnsi="GaramondPremrPro" w:cs="GaramondPremrPro"/>
          <w:i/>
          <w:szCs w:val="24"/>
        </w:rPr>
      </w:pPr>
      <w:r w:rsidRPr="00EE66AF">
        <w:rPr>
          <w:rFonts w:ascii="GaramondPremrPro" w:hAnsi="GaramondPremrPro" w:cs="GaramondPremrPro"/>
          <w:i/>
          <w:szCs w:val="24"/>
        </w:rPr>
        <w:t>La Constitución de Montecristi</w:t>
      </w:r>
      <w:r w:rsidR="00EE66AF" w:rsidRPr="00EE66AF">
        <w:rPr>
          <w:rFonts w:ascii="GaramondPremrPro" w:hAnsi="GaramondPremrPro" w:cs="GaramondPremrPro"/>
          <w:i/>
          <w:szCs w:val="24"/>
        </w:rPr>
        <w:t>.</w:t>
      </w:r>
    </w:p>
    <w:p w:rsidR="00566934" w:rsidRDefault="00566934" w:rsidP="00566934">
      <w:pPr>
        <w:autoSpaceDE w:val="0"/>
        <w:autoSpaceDN w:val="0"/>
        <w:adjustRightInd w:val="0"/>
        <w:rPr>
          <w:rFonts w:ascii="GaramondPremrPro" w:hAnsi="GaramondPremrPro" w:cs="GaramondPremrPro"/>
          <w:szCs w:val="24"/>
        </w:rPr>
      </w:pPr>
    </w:p>
    <w:p w:rsidR="00566934" w:rsidRDefault="00566934" w:rsidP="00566934">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FE762B">
        <w:rPr>
          <w:rFonts w:ascii="GaramondPremrPro" w:hAnsi="GaramondPremrPro" w:cs="GaramondPremrPro"/>
          <w:szCs w:val="24"/>
        </w:rPr>
        <w:t>Aunque la Constitución del año 2008 no contempla de manera expresa el</w:t>
      </w:r>
      <w:r w:rsidR="008B2909">
        <w:rPr>
          <w:rFonts w:ascii="GaramondPremrPro" w:hAnsi="GaramondPremrPro" w:cs="GaramondPremrPro"/>
          <w:szCs w:val="24"/>
        </w:rPr>
        <w:t xml:space="preserve"> </w:t>
      </w:r>
      <w:r w:rsidR="00FE762B">
        <w:rPr>
          <w:rFonts w:ascii="GaramondPremrPro" w:hAnsi="GaramondPremrPro" w:cs="GaramondPremrPro"/>
          <w:szCs w:val="24"/>
        </w:rPr>
        <w:t>concepto d</w:t>
      </w:r>
      <w:r w:rsidR="001374FF">
        <w:rPr>
          <w:rFonts w:ascii="GaramondPremrPro" w:hAnsi="GaramondPremrPro" w:cs="GaramondPremrPro"/>
          <w:szCs w:val="24"/>
        </w:rPr>
        <w:t xml:space="preserve">e protección social, dedica </w:t>
      </w:r>
      <w:r w:rsidR="00FE762B">
        <w:rPr>
          <w:rFonts w:ascii="GaramondPremrPro" w:hAnsi="GaramondPremrPro" w:cs="GaramondPremrPro"/>
          <w:szCs w:val="24"/>
        </w:rPr>
        <w:t>un título entero al Régimen del Buen Vivir (artículos 340 al 415). La inclusión y la equidad social están planteadas como un sistema que debe articularse al PNBV. Los ámbitos que aborda son:</w:t>
      </w:r>
    </w:p>
    <w:p w:rsidR="00FE762B" w:rsidRDefault="00FE762B" w:rsidP="00566934">
      <w:pPr>
        <w:autoSpaceDE w:val="0"/>
        <w:autoSpaceDN w:val="0"/>
        <w:adjustRightInd w:val="0"/>
        <w:rPr>
          <w:rFonts w:ascii="GaramondPremrPro" w:hAnsi="GaramondPremrPro" w:cs="GaramondPremrPro"/>
          <w:szCs w:val="24"/>
        </w:rPr>
      </w:pP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 xml:space="preserve">Educación </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Salud</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Seguridad social</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Gestión de riesgos</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Cultura física y deporte</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Hábitat y vivienda</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Cultura</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Comunicación e información</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Disfrute del tiempo libre</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Ciencia y tecnología</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Población</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lastRenderedPageBreak/>
        <w:t>Seguridad humana</w:t>
      </w:r>
    </w:p>
    <w:p w:rsidR="00FE762B" w:rsidRPr="00FF051E" w:rsidRDefault="00FE762B" w:rsidP="00FF051E">
      <w:pPr>
        <w:pStyle w:val="Prrafodelista"/>
        <w:numPr>
          <w:ilvl w:val="0"/>
          <w:numId w:val="3"/>
        </w:numPr>
        <w:autoSpaceDE w:val="0"/>
        <w:autoSpaceDN w:val="0"/>
        <w:adjustRightInd w:val="0"/>
        <w:rPr>
          <w:rFonts w:ascii="GaramondPremrPro" w:hAnsi="GaramondPremrPro" w:cs="GaramondPremrPro"/>
        </w:rPr>
      </w:pPr>
      <w:r w:rsidRPr="00FF051E">
        <w:rPr>
          <w:rFonts w:ascii="GaramondPremrPro" w:hAnsi="GaramondPremrPro" w:cs="GaramondPremrPro"/>
        </w:rPr>
        <w:t>Transporte</w:t>
      </w:r>
    </w:p>
    <w:p w:rsidR="00FE762B" w:rsidRDefault="00FE762B" w:rsidP="00566934">
      <w:pPr>
        <w:autoSpaceDE w:val="0"/>
        <w:autoSpaceDN w:val="0"/>
        <w:adjustRightInd w:val="0"/>
        <w:rPr>
          <w:rFonts w:ascii="GaramondPremrPro" w:hAnsi="GaramondPremrPro" w:cs="GaramondPremrPro"/>
          <w:szCs w:val="24"/>
        </w:rPr>
      </w:pPr>
    </w:p>
    <w:p w:rsidR="001E4B80" w:rsidRDefault="00382876" w:rsidP="001F5637">
      <w:pPr>
        <w:autoSpaceDE w:val="0"/>
        <w:autoSpaceDN w:val="0"/>
        <w:adjustRightInd w:val="0"/>
        <w:ind w:left="360" w:firstLine="348"/>
        <w:rPr>
          <w:rFonts w:ascii="GaramondPremrPro" w:hAnsi="GaramondPremrPro" w:cs="GaramondPremrPro"/>
          <w:szCs w:val="24"/>
        </w:rPr>
      </w:pPr>
      <w:r>
        <w:rPr>
          <w:rFonts w:ascii="GaramondPremrPro" w:hAnsi="GaramondPremrPro" w:cs="GaramondPremrPro"/>
          <w:szCs w:val="24"/>
        </w:rPr>
        <w:t>Según el artículo 341, el objetivo fun</w:t>
      </w:r>
      <w:r w:rsidR="00146F3D">
        <w:rPr>
          <w:rFonts w:ascii="GaramondPremrPro" w:hAnsi="GaramondPremrPro" w:cs="GaramondPremrPro"/>
          <w:szCs w:val="24"/>
        </w:rPr>
        <w:t xml:space="preserve">damental del Régimen del Buen </w:t>
      </w:r>
      <w:r>
        <w:rPr>
          <w:rFonts w:ascii="GaramondPremrPro" w:hAnsi="GaramondPremrPro" w:cs="GaramondPremrPro"/>
          <w:szCs w:val="24"/>
        </w:rPr>
        <w:t>Vivir es la protección integral de los habitantes a lo largo de sus vidas.</w:t>
      </w:r>
      <w:r w:rsidR="001E4B80">
        <w:rPr>
          <w:rFonts w:ascii="GaramondPremrPro" w:hAnsi="GaramondPremrPro" w:cs="GaramondPremrPro"/>
          <w:szCs w:val="24"/>
        </w:rPr>
        <w:t xml:space="preserve"> El Estado tiene</w:t>
      </w:r>
      <w:r w:rsidR="008B2909">
        <w:rPr>
          <w:rFonts w:ascii="GaramondPremrPro" w:hAnsi="GaramondPremrPro" w:cs="GaramondPremrPro"/>
          <w:szCs w:val="24"/>
        </w:rPr>
        <w:t xml:space="preserve"> </w:t>
      </w:r>
      <w:r w:rsidR="001E4B80">
        <w:rPr>
          <w:rFonts w:ascii="GaramondPremrPro" w:hAnsi="GaramondPremrPro" w:cs="GaramondPremrPro"/>
          <w:szCs w:val="24"/>
        </w:rPr>
        <w:t>la obligación de crear las condiciones para que este objetivo se</w:t>
      </w:r>
      <w:r w:rsidR="008B2909">
        <w:rPr>
          <w:rFonts w:ascii="GaramondPremrPro" w:hAnsi="GaramondPremrPro" w:cs="GaramondPremrPro"/>
          <w:szCs w:val="24"/>
        </w:rPr>
        <w:t xml:space="preserve"> </w:t>
      </w:r>
      <w:r w:rsidR="001E4B80">
        <w:rPr>
          <w:rFonts w:ascii="GaramondPremrPro" w:hAnsi="GaramondPremrPro" w:cs="GaramondPremrPro"/>
          <w:szCs w:val="24"/>
        </w:rPr>
        <w:t>cumpla.</w:t>
      </w:r>
    </w:p>
    <w:p w:rsidR="001D7CBE" w:rsidRDefault="001D7CBE" w:rsidP="001F5637">
      <w:pPr>
        <w:autoSpaceDE w:val="0"/>
        <w:autoSpaceDN w:val="0"/>
        <w:adjustRightInd w:val="0"/>
        <w:ind w:left="360" w:firstLine="348"/>
        <w:rPr>
          <w:rFonts w:ascii="GaramondPremrPro" w:hAnsi="GaramondPremrPro" w:cs="GaramondPremrPro"/>
          <w:szCs w:val="24"/>
        </w:rPr>
      </w:pPr>
    </w:p>
    <w:p w:rsidR="001D7CBE" w:rsidRDefault="001D7CBE" w:rsidP="001F5637">
      <w:pPr>
        <w:autoSpaceDE w:val="0"/>
        <w:autoSpaceDN w:val="0"/>
        <w:adjustRightInd w:val="0"/>
        <w:ind w:left="360" w:firstLine="348"/>
        <w:rPr>
          <w:rFonts w:ascii="GaramondPremrPro" w:hAnsi="GaramondPremrPro" w:cs="GaramondPremrPro"/>
          <w:szCs w:val="24"/>
        </w:rPr>
      </w:pPr>
    </w:p>
    <w:p w:rsidR="001E4B80" w:rsidRPr="00EE66AF" w:rsidRDefault="00EE66AF" w:rsidP="001E25E5">
      <w:pPr>
        <w:autoSpaceDE w:val="0"/>
        <w:autoSpaceDN w:val="0"/>
        <w:adjustRightInd w:val="0"/>
        <w:rPr>
          <w:rFonts w:ascii="GaramondPremrPro" w:hAnsi="GaramondPremrPro" w:cs="GaramondPremrPro"/>
          <w:szCs w:val="24"/>
        </w:rPr>
      </w:pPr>
      <w:r>
        <w:rPr>
          <w:rFonts w:ascii="GaramondPremrPro" w:hAnsi="GaramondPremrPro" w:cs="GaramondPremrPro"/>
          <w:i/>
          <w:szCs w:val="24"/>
        </w:rPr>
        <w:t xml:space="preserve">El </w:t>
      </w:r>
      <w:r w:rsidR="001E4B80" w:rsidRPr="00EE66AF">
        <w:rPr>
          <w:rFonts w:ascii="GaramondPremrPro" w:hAnsi="GaramondPremrPro" w:cs="GaramondPremrPro"/>
          <w:i/>
          <w:szCs w:val="24"/>
        </w:rPr>
        <w:t>Plan Nacional del Buen Vivir 2013-2017</w:t>
      </w:r>
      <w:r>
        <w:rPr>
          <w:rFonts w:ascii="GaramondPremrPro" w:hAnsi="GaramondPremrPro" w:cs="GaramondPremrPro"/>
          <w:szCs w:val="24"/>
        </w:rPr>
        <w:t>.</w:t>
      </w:r>
    </w:p>
    <w:p w:rsidR="001E4B80" w:rsidRDefault="001E4B80" w:rsidP="001E25E5">
      <w:pPr>
        <w:autoSpaceDE w:val="0"/>
        <w:autoSpaceDN w:val="0"/>
        <w:adjustRightInd w:val="0"/>
        <w:rPr>
          <w:rFonts w:ascii="GaramondPremrPro" w:hAnsi="GaramondPremrPro" w:cs="GaramondPremrPro"/>
          <w:szCs w:val="24"/>
        </w:rPr>
      </w:pPr>
    </w:p>
    <w:p w:rsidR="001E4B80" w:rsidRDefault="005114E7"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1F5637">
        <w:rPr>
          <w:rFonts w:ascii="GaramondPremrPro" w:hAnsi="GaramondPremrPro" w:cs="GaramondPremrPro"/>
          <w:szCs w:val="24"/>
        </w:rPr>
        <w:t>En este documento, en cambio, sí</w:t>
      </w:r>
      <w:r>
        <w:rPr>
          <w:rFonts w:ascii="GaramondPremrPro" w:hAnsi="GaramondPremrPro" w:cs="GaramondPremrPro"/>
          <w:szCs w:val="24"/>
        </w:rPr>
        <w:t xml:space="preserve"> existen alusiones concretas al concepto de protección social, aunque en much</w:t>
      </w:r>
      <w:r w:rsidR="00EE66AF">
        <w:rPr>
          <w:rFonts w:ascii="GaramondPremrPro" w:hAnsi="GaramondPremrPro" w:cs="GaramondPremrPro"/>
          <w:szCs w:val="24"/>
        </w:rPr>
        <w:t xml:space="preserve">os aspectos todavía </w:t>
      </w:r>
      <w:proofErr w:type="gramStart"/>
      <w:r w:rsidR="00EE66AF">
        <w:rPr>
          <w:rFonts w:ascii="GaramondPremrPro" w:hAnsi="GaramondPremrPro" w:cs="GaramondPremrPro"/>
          <w:szCs w:val="24"/>
        </w:rPr>
        <w:t>relacionado</w:t>
      </w:r>
      <w:proofErr w:type="gramEnd"/>
      <w:r>
        <w:rPr>
          <w:rFonts w:ascii="GaramondPremrPro" w:hAnsi="GaramondPremrPro" w:cs="GaramondPremrPro"/>
          <w:szCs w:val="24"/>
        </w:rPr>
        <w:t xml:space="preserve"> con</w:t>
      </w:r>
      <w:r w:rsidR="001F5637">
        <w:rPr>
          <w:rFonts w:ascii="GaramondPremrPro" w:hAnsi="GaramondPremrPro" w:cs="GaramondPremrPro"/>
          <w:szCs w:val="24"/>
        </w:rPr>
        <w:t xml:space="preserve"> </w:t>
      </w:r>
      <w:r>
        <w:rPr>
          <w:rFonts w:ascii="GaramondPremrPro" w:hAnsi="GaramondPremrPro" w:cs="GaramondPremrPro"/>
          <w:szCs w:val="24"/>
        </w:rPr>
        <w:t>la idea más clásica de seguridad social. En cierta medida, má</w:t>
      </w:r>
      <w:r w:rsidR="00DC5F16">
        <w:rPr>
          <w:rFonts w:ascii="GaramondPremrPro" w:hAnsi="GaramondPremrPro" w:cs="GaramondPremrPro"/>
          <w:szCs w:val="24"/>
        </w:rPr>
        <w:t>s</w:t>
      </w:r>
      <w:r w:rsidR="00766B9C">
        <w:rPr>
          <w:rFonts w:ascii="GaramondPremrPro" w:hAnsi="GaramondPremrPro" w:cs="GaramondPremrPro"/>
          <w:szCs w:val="24"/>
        </w:rPr>
        <w:t xml:space="preserve"> que como un</w:t>
      </w:r>
      <w:r w:rsidR="0048146D">
        <w:rPr>
          <w:rFonts w:ascii="GaramondPremrPro" w:hAnsi="GaramondPremrPro" w:cs="GaramondPremrPro"/>
          <w:szCs w:val="24"/>
        </w:rPr>
        <w:t xml:space="preserve">a condición </w:t>
      </w:r>
      <w:r>
        <w:rPr>
          <w:rFonts w:ascii="GaramondPremrPro" w:hAnsi="GaramondPremrPro" w:cs="GaramondPremrPro"/>
          <w:szCs w:val="24"/>
        </w:rPr>
        <w:t>central de la política pública</w:t>
      </w:r>
      <w:r w:rsidR="008B3F72">
        <w:rPr>
          <w:rFonts w:ascii="GaramondPremrPro" w:hAnsi="GaramondPremrPro" w:cs="GaramondPremrPro"/>
          <w:szCs w:val="24"/>
        </w:rPr>
        <w:t xml:space="preserve"> y como un objetivo de la transformación política</w:t>
      </w:r>
      <w:r>
        <w:rPr>
          <w:rFonts w:ascii="GaramondPremrPro" w:hAnsi="GaramondPremrPro" w:cs="GaramondPremrPro"/>
          <w:szCs w:val="24"/>
        </w:rPr>
        <w:t>, la protección social está considerada como un  componente de los derechos ciudadanos.</w:t>
      </w:r>
    </w:p>
    <w:p w:rsidR="000B3694" w:rsidRDefault="008B2909" w:rsidP="00F72FB0">
      <w:pPr>
        <w:autoSpaceDE w:val="0"/>
        <w:autoSpaceDN w:val="0"/>
        <w:adjustRightInd w:val="0"/>
        <w:ind w:firstLine="708"/>
        <w:rPr>
          <w:rFonts w:ascii="GaramondPremrPro" w:hAnsi="GaramondPremrPro" w:cs="GaramondPremrPro"/>
          <w:szCs w:val="24"/>
        </w:rPr>
      </w:pPr>
      <w:r>
        <w:rPr>
          <w:rFonts w:ascii="GaramondPremrPro" w:hAnsi="GaramondPremrPro" w:cs="GaramondPremrPro"/>
          <w:szCs w:val="24"/>
        </w:rPr>
        <w:t>No obstante, es</w:t>
      </w:r>
      <w:r w:rsidR="008B3F72">
        <w:rPr>
          <w:rFonts w:ascii="GaramondPremrPro" w:hAnsi="GaramondPremrPro" w:cs="GaramondPremrPro"/>
          <w:szCs w:val="24"/>
        </w:rPr>
        <w:t xml:space="preserve">ta visión no resulta del todo compatible con algunos de los postulados contenidos en el PNBV, donde se insiste </w:t>
      </w:r>
      <w:r w:rsidR="0091031F">
        <w:rPr>
          <w:rFonts w:ascii="GaramondPremrPro" w:hAnsi="GaramondPremrPro" w:cs="GaramondPremrPro"/>
          <w:szCs w:val="24"/>
        </w:rPr>
        <w:t xml:space="preserve">en </w:t>
      </w:r>
      <w:r w:rsidR="008B3F72">
        <w:rPr>
          <w:rFonts w:ascii="GaramondPremrPro" w:hAnsi="GaramondPremrPro" w:cs="GaramondPremrPro"/>
          <w:szCs w:val="24"/>
        </w:rPr>
        <w:t xml:space="preserve">que un proceso de transformación social no tiene perspectiva si no se centra en el fortalecimiento de la sociedad –por </w:t>
      </w:r>
      <w:r>
        <w:rPr>
          <w:rFonts w:ascii="GaramondPremrPro" w:hAnsi="GaramondPremrPro" w:cs="GaramondPremrPro"/>
          <w:szCs w:val="24"/>
        </w:rPr>
        <w:t>encima</w:t>
      </w:r>
      <w:r w:rsidR="008B3F72">
        <w:rPr>
          <w:rFonts w:ascii="GaramondPremrPro" w:hAnsi="GaramondPremrPro" w:cs="GaramondPremrPro"/>
          <w:szCs w:val="24"/>
        </w:rPr>
        <w:t xml:space="preserve"> del mercado y del Estado– como actor prioritario </w:t>
      </w:r>
      <w:r w:rsidR="004203CD">
        <w:rPr>
          <w:rFonts w:ascii="GaramondPremrPro" w:hAnsi="GaramondPremrPro" w:cs="GaramondPremrPro"/>
          <w:szCs w:val="24"/>
        </w:rPr>
        <w:t>e insustituible</w:t>
      </w:r>
      <w:r w:rsidR="00C85A1C">
        <w:rPr>
          <w:rFonts w:ascii="GaramondPremrPro" w:hAnsi="GaramondPremrPro" w:cs="GaramondPremrPro"/>
          <w:szCs w:val="24"/>
        </w:rPr>
        <w:t>,</w:t>
      </w:r>
      <w:r w:rsidR="004203CD">
        <w:rPr>
          <w:rFonts w:ascii="GaramondPremrPro" w:hAnsi="GaramondPremrPro" w:cs="GaramondPremrPro"/>
          <w:szCs w:val="24"/>
        </w:rPr>
        <w:t xml:space="preserve"> tanto para la profundización de la democracia como para el funcionamiento de las instituciones. En la práctica, </w:t>
      </w:r>
      <w:r w:rsidR="00B904BB">
        <w:rPr>
          <w:rFonts w:ascii="GaramondPremrPro" w:hAnsi="GaramondPremrPro" w:cs="GaramondPremrPro"/>
          <w:szCs w:val="24"/>
        </w:rPr>
        <w:t xml:space="preserve">el manejo político del gobierno de Correa se ha orientado </w:t>
      </w:r>
      <w:r>
        <w:rPr>
          <w:rFonts w:ascii="GaramondPremrPro" w:hAnsi="GaramondPremrPro" w:cs="GaramondPremrPro"/>
          <w:szCs w:val="24"/>
        </w:rPr>
        <w:t>precisamente</w:t>
      </w:r>
      <w:r w:rsidR="00B904BB">
        <w:rPr>
          <w:rFonts w:ascii="GaramondPremrPro" w:hAnsi="GaramondPremrPro" w:cs="GaramondPremrPro"/>
          <w:szCs w:val="24"/>
        </w:rPr>
        <w:t xml:space="preserve"> en sentido </w:t>
      </w:r>
      <w:r>
        <w:rPr>
          <w:rFonts w:ascii="GaramondPremrPro" w:hAnsi="GaramondPremrPro" w:cs="GaramondPremrPro"/>
          <w:szCs w:val="24"/>
        </w:rPr>
        <w:t>contrario</w:t>
      </w:r>
      <w:r w:rsidR="00B904BB">
        <w:rPr>
          <w:rFonts w:ascii="GaramondPremrPro" w:hAnsi="GaramondPremrPro" w:cs="GaramondPremrPro"/>
          <w:szCs w:val="24"/>
        </w:rPr>
        <w:t xml:space="preserve"> (con lo cual se ratifica la inveterada </w:t>
      </w:r>
      <w:r>
        <w:rPr>
          <w:rFonts w:ascii="GaramondPremrPro" w:hAnsi="GaramondPremrPro" w:cs="GaramondPremrPro"/>
          <w:szCs w:val="24"/>
        </w:rPr>
        <w:t>incompatibilidad entre norma esc</w:t>
      </w:r>
      <w:r w:rsidR="00B904BB">
        <w:rPr>
          <w:rFonts w:ascii="GaramondPremrPro" w:hAnsi="GaramondPremrPro" w:cs="GaramondPremrPro"/>
          <w:szCs w:val="24"/>
        </w:rPr>
        <w:t xml:space="preserve">rita y </w:t>
      </w:r>
      <w:r>
        <w:rPr>
          <w:rFonts w:ascii="GaramondPremrPro" w:hAnsi="GaramondPremrPro" w:cs="GaramondPremrPro"/>
          <w:szCs w:val="24"/>
        </w:rPr>
        <w:t>ejercicio</w:t>
      </w:r>
      <w:r w:rsidR="00B904BB">
        <w:rPr>
          <w:rFonts w:ascii="GaramondPremrPro" w:hAnsi="GaramondPremrPro" w:cs="GaramondPremrPro"/>
          <w:szCs w:val="24"/>
        </w:rPr>
        <w:t xml:space="preserve"> del poder </w:t>
      </w:r>
      <w:proofErr w:type="gramStart"/>
      <w:r w:rsidR="00B904BB">
        <w:rPr>
          <w:rFonts w:ascii="GaramondPremrPro" w:hAnsi="GaramondPremrPro" w:cs="GaramondPremrPro"/>
          <w:szCs w:val="24"/>
        </w:rPr>
        <w:t>típica</w:t>
      </w:r>
      <w:proofErr w:type="gramEnd"/>
      <w:r w:rsidR="00B904BB">
        <w:rPr>
          <w:rFonts w:ascii="GaramondPremrPro" w:hAnsi="GaramondPremrPro" w:cs="GaramondPremrPro"/>
          <w:szCs w:val="24"/>
        </w:rPr>
        <w:t xml:space="preserve"> de nuestros países). La política pública se  ha centrado, durante los  últimos siete años, en la concentración de las decis</w:t>
      </w:r>
      <w:r>
        <w:rPr>
          <w:rFonts w:ascii="GaramondPremrPro" w:hAnsi="GaramondPremrPro" w:cs="GaramondPremrPro"/>
          <w:szCs w:val="24"/>
        </w:rPr>
        <w:t>i</w:t>
      </w:r>
      <w:r w:rsidR="00B904BB">
        <w:rPr>
          <w:rFonts w:ascii="GaramondPremrPro" w:hAnsi="GaramondPremrPro" w:cs="GaramondPremrPro"/>
          <w:szCs w:val="24"/>
        </w:rPr>
        <w:t>ones en el aparato estatal, subordinando a la sociedad por medios ju</w:t>
      </w:r>
      <w:r w:rsidR="00000CF8">
        <w:rPr>
          <w:rFonts w:ascii="GaramondPremrPro" w:hAnsi="GaramondPremrPro" w:cs="GaramondPremrPro"/>
          <w:szCs w:val="24"/>
        </w:rPr>
        <w:t>rídicos, políticos o económicos. La sociedad está relegada de las grandes</w:t>
      </w:r>
      <w:r>
        <w:rPr>
          <w:rFonts w:ascii="GaramondPremrPro" w:hAnsi="GaramondPremrPro" w:cs="GaramondPremrPro"/>
          <w:szCs w:val="24"/>
        </w:rPr>
        <w:t xml:space="preserve"> decisiones nacionales. Es justamente</w:t>
      </w:r>
      <w:r w:rsidR="00000CF8">
        <w:rPr>
          <w:rFonts w:ascii="GaramondPremrPro" w:hAnsi="GaramondPremrPro" w:cs="GaramondPremrPro"/>
          <w:szCs w:val="24"/>
        </w:rPr>
        <w:t xml:space="preserve"> esta situación de hegemonía estatal la que ha consolidado la política de subs</w:t>
      </w:r>
      <w:r w:rsidR="000B3694">
        <w:rPr>
          <w:rFonts w:ascii="GaramondPremrPro" w:hAnsi="GaramondPremrPro" w:cs="GaramondPremrPro"/>
          <w:szCs w:val="24"/>
        </w:rPr>
        <w:t>idios a la población más pobre: estos se han convertido en un instrumento de manejo y control político.</w:t>
      </w:r>
    </w:p>
    <w:p w:rsidR="008B3F72" w:rsidRDefault="00000CF8" w:rsidP="000B3694">
      <w:pPr>
        <w:autoSpaceDE w:val="0"/>
        <w:autoSpaceDN w:val="0"/>
        <w:adjustRightInd w:val="0"/>
        <w:ind w:firstLine="708"/>
        <w:rPr>
          <w:rFonts w:ascii="GaramondPremrPro" w:hAnsi="GaramondPremrPro" w:cs="GaramondPremrPro"/>
          <w:szCs w:val="24"/>
        </w:rPr>
      </w:pPr>
      <w:r>
        <w:rPr>
          <w:rFonts w:ascii="GaramondPremrPro" w:hAnsi="GaramondPremrPro" w:cs="GaramondPremrPro"/>
          <w:szCs w:val="24"/>
        </w:rPr>
        <w:t>Los índices de desemple</w:t>
      </w:r>
      <w:r w:rsidR="008B2909">
        <w:rPr>
          <w:rFonts w:ascii="GaramondPremrPro" w:hAnsi="GaramondPremrPro" w:cs="GaramondPremrPro"/>
          <w:szCs w:val="24"/>
        </w:rPr>
        <w:t>o</w:t>
      </w:r>
      <w:r>
        <w:rPr>
          <w:rFonts w:ascii="GaramondPremrPro" w:hAnsi="GaramondPremrPro" w:cs="GaramondPremrPro"/>
          <w:szCs w:val="24"/>
        </w:rPr>
        <w:t xml:space="preserve"> se han reducido ligeramente, mientras los de subempleo se han  mantenido e inclusive han aumentado entre algunos sectores sociales o en algunas regiones. Esto impide plantearse una estrategia de protección social basada en </w:t>
      </w:r>
      <w:r w:rsidR="00161F72">
        <w:rPr>
          <w:rFonts w:ascii="GaramondPremrPro" w:hAnsi="GaramondPremrPro" w:cs="GaramondPremrPro"/>
          <w:szCs w:val="24"/>
        </w:rPr>
        <w:t>el</w:t>
      </w:r>
      <w:r>
        <w:rPr>
          <w:rFonts w:ascii="GaramondPremrPro" w:hAnsi="GaramondPremrPro" w:cs="GaramondPremrPro"/>
          <w:szCs w:val="24"/>
        </w:rPr>
        <w:t xml:space="preserve"> </w:t>
      </w:r>
      <w:r w:rsidR="00161F72">
        <w:rPr>
          <w:rFonts w:ascii="GaramondPremrPro" w:hAnsi="GaramondPremrPro" w:cs="GaramondPremrPro"/>
          <w:szCs w:val="24"/>
        </w:rPr>
        <w:t>potencial</w:t>
      </w:r>
      <w:r w:rsidR="00DD342D">
        <w:rPr>
          <w:rFonts w:ascii="GaramondPremrPro" w:hAnsi="GaramondPremrPro" w:cs="GaramondPremrPro"/>
          <w:szCs w:val="24"/>
        </w:rPr>
        <w:t xml:space="preserve"> autónomo</w:t>
      </w:r>
      <w:r>
        <w:rPr>
          <w:rFonts w:ascii="GaramondPremrPro" w:hAnsi="GaramondPremrPro" w:cs="GaramondPremrPro"/>
          <w:szCs w:val="24"/>
        </w:rPr>
        <w:t xml:space="preserve"> de la sociedad; más bien propone un modelo que, por su propia dependencia de los ingresos fiscales transitorios, se</w:t>
      </w:r>
      <w:r w:rsidR="008B2909">
        <w:rPr>
          <w:rFonts w:ascii="GaramondPremrPro" w:hAnsi="GaramondPremrPro" w:cs="GaramondPremrPro"/>
          <w:szCs w:val="24"/>
        </w:rPr>
        <w:t xml:space="preserve"> </w:t>
      </w:r>
      <w:r>
        <w:rPr>
          <w:rFonts w:ascii="GaramondPremrPro" w:hAnsi="GaramondPremrPro" w:cs="GaramondPremrPro"/>
          <w:szCs w:val="24"/>
        </w:rPr>
        <w:t>vuelve excesivamente vulnerable. Por ejemplo</w:t>
      </w:r>
      <w:r w:rsidR="00EA025F">
        <w:rPr>
          <w:rFonts w:ascii="GaramondPremrPro" w:hAnsi="GaramondPremrPro" w:cs="GaramondPremrPro"/>
          <w:szCs w:val="24"/>
        </w:rPr>
        <w:t>,</w:t>
      </w:r>
      <w:r>
        <w:rPr>
          <w:rFonts w:ascii="GaramondPremrPro" w:hAnsi="GaramondPremrPro" w:cs="GaramondPremrPro"/>
          <w:szCs w:val="24"/>
        </w:rPr>
        <w:t xml:space="preserve"> la</w:t>
      </w:r>
      <w:r w:rsidR="008B2909">
        <w:rPr>
          <w:rFonts w:ascii="GaramondPremrPro" w:hAnsi="GaramondPremrPro" w:cs="GaramondPremrPro"/>
          <w:szCs w:val="24"/>
        </w:rPr>
        <w:t xml:space="preserve"> </w:t>
      </w:r>
      <w:r>
        <w:rPr>
          <w:rFonts w:ascii="GaramondPremrPro" w:hAnsi="GaramondPremrPro" w:cs="GaramondPremrPro"/>
          <w:szCs w:val="24"/>
        </w:rPr>
        <w:t>integraci</w:t>
      </w:r>
      <w:r w:rsidR="00F4193A">
        <w:rPr>
          <w:rFonts w:ascii="GaramondPremrPro" w:hAnsi="GaramondPremrPro" w:cs="GaramondPremrPro"/>
          <w:szCs w:val="24"/>
        </w:rPr>
        <w:t>ón masiva de nuevos usuarios no-</w:t>
      </w:r>
      <w:r>
        <w:rPr>
          <w:rFonts w:ascii="GaramondPremrPro" w:hAnsi="GaramondPremrPro" w:cs="GaramondPremrPro"/>
          <w:szCs w:val="24"/>
        </w:rPr>
        <w:t>aportantes a los servicios de salud del Instituto Ecuatoriano de Seguridad Social (IESS) ha provocado el colapso del sistema, afectando a la totalidad de afiliados. La respuesta del gobierno frente al incremento inmanejable de la demanda ha sido la subcontratación de proveedores y empresas privados,</w:t>
      </w:r>
      <w:r w:rsidR="008B2909">
        <w:rPr>
          <w:rFonts w:ascii="GaramondPremrPro" w:hAnsi="GaramondPremrPro" w:cs="GaramondPremrPro"/>
          <w:szCs w:val="24"/>
        </w:rPr>
        <w:t xml:space="preserve"> </w:t>
      </w:r>
      <w:r>
        <w:rPr>
          <w:rFonts w:ascii="GaramondPremrPro" w:hAnsi="GaramondPremrPro" w:cs="GaramondPremrPro"/>
          <w:szCs w:val="24"/>
        </w:rPr>
        <w:t>medida</w:t>
      </w:r>
      <w:r w:rsidR="008B2909">
        <w:rPr>
          <w:rFonts w:ascii="GaramondPremrPro" w:hAnsi="GaramondPremrPro" w:cs="GaramondPremrPro"/>
          <w:szCs w:val="24"/>
        </w:rPr>
        <w:t xml:space="preserve"> </w:t>
      </w:r>
      <w:r>
        <w:rPr>
          <w:rFonts w:ascii="GaramondPremrPro" w:hAnsi="GaramondPremrPro" w:cs="GaramondPremrPro"/>
          <w:szCs w:val="24"/>
        </w:rPr>
        <w:t xml:space="preserve">con la cual se termina </w:t>
      </w:r>
      <w:r w:rsidR="00A837B8">
        <w:rPr>
          <w:rFonts w:ascii="GaramondPremrPro" w:hAnsi="GaramondPremrPro" w:cs="GaramondPremrPro"/>
          <w:szCs w:val="24"/>
        </w:rPr>
        <w:t xml:space="preserve">transfiriendo </w:t>
      </w:r>
      <w:r>
        <w:rPr>
          <w:rFonts w:ascii="GaramondPremrPro" w:hAnsi="GaramondPremrPro" w:cs="GaramondPremrPro"/>
          <w:szCs w:val="24"/>
        </w:rPr>
        <w:t>los recursos públicos al sector privado, en muchos de los casos a grandes grupos monopólicos</w:t>
      </w:r>
      <w:r>
        <w:rPr>
          <w:rStyle w:val="Refdenotaalpie"/>
          <w:rFonts w:ascii="GaramondPremrPro" w:hAnsi="GaramondPremrPro" w:cs="GaramondPremrPro"/>
          <w:szCs w:val="24"/>
        </w:rPr>
        <w:footnoteReference w:id="3"/>
      </w:r>
      <w:r>
        <w:rPr>
          <w:rFonts w:ascii="GaramondPremrPro" w:hAnsi="GaramondPremrPro" w:cs="GaramondPremrPro"/>
          <w:szCs w:val="24"/>
        </w:rPr>
        <w:t>.</w:t>
      </w:r>
    </w:p>
    <w:p w:rsidR="00830F04" w:rsidRDefault="00830F04" w:rsidP="00382876">
      <w:pPr>
        <w:autoSpaceDE w:val="0"/>
        <w:autoSpaceDN w:val="0"/>
        <w:adjustRightInd w:val="0"/>
        <w:ind w:left="360"/>
        <w:rPr>
          <w:rFonts w:ascii="GaramondPremrPro" w:hAnsi="GaramondPremrPro" w:cs="GaramondPremrPro"/>
          <w:b/>
          <w:szCs w:val="24"/>
        </w:rPr>
      </w:pPr>
    </w:p>
    <w:p w:rsidR="001E25E5" w:rsidRPr="00830F04" w:rsidRDefault="001E25E5" w:rsidP="00382876">
      <w:pPr>
        <w:autoSpaceDE w:val="0"/>
        <w:autoSpaceDN w:val="0"/>
        <w:adjustRightInd w:val="0"/>
        <w:ind w:left="360"/>
        <w:rPr>
          <w:rFonts w:ascii="GaramondPremrPro" w:hAnsi="GaramondPremrPro" w:cs="GaramondPremrPro"/>
          <w:b/>
          <w:szCs w:val="24"/>
        </w:rPr>
      </w:pPr>
    </w:p>
    <w:p w:rsidR="00830F04" w:rsidRDefault="00830F04" w:rsidP="001E25E5">
      <w:pPr>
        <w:autoSpaceDE w:val="0"/>
        <w:autoSpaceDN w:val="0"/>
        <w:adjustRightInd w:val="0"/>
        <w:rPr>
          <w:rFonts w:ascii="GaramondPremrPro" w:hAnsi="GaramondPremrPro" w:cs="GaramondPremrPro"/>
          <w:b/>
          <w:szCs w:val="24"/>
        </w:rPr>
      </w:pPr>
      <w:r w:rsidRPr="00830F04">
        <w:rPr>
          <w:rFonts w:ascii="GaramondPremrPro" w:hAnsi="GaramondPremrPro" w:cs="GaramondPremrPro"/>
          <w:b/>
          <w:szCs w:val="24"/>
        </w:rPr>
        <w:t>La posición de la CEPAL</w:t>
      </w:r>
      <w:r w:rsidR="007315FC">
        <w:rPr>
          <w:rFonts w:ascii="GaramondPremrPro" w:hAnsi="GaramondPremrPro" w:cs="GaramondPremrPro"/>
          <w:b/>
          <w:szCs w:val="24"/>
        </w:rPr>
        <w:t>.</w:t>
      </w:r>
    </w:p>
    <w:p w:rsidR="00160CD6" w:rsidRDefault="00160CD6" w:rsidP="001E25E5">
      <w:pPr>
        <w:autoSpaceDE w:val="0"/>
        <w:autoSpaceDN w:val="0"/>
        <w:adjustRightInd w:val="0"/>
        <w:rPr>
          <w:rFonts w:ascii="GaramondPremrPro" w:hAnsi="GaramondPremrPro" w:cs="GaramondPremrPro"/>
          <w:b/>
          <w:szCs w:val="24"/>
        </w:rPr>
      </w:pPr>
    </w:p>
    <w:p w:rsidR="0043656C" w:rsidRDefault="0043656C" w:rsidP="001E25E5">
      <w:pPr>
        <w:autoSpaceDE w:val="0"/>
        <w:autoSpaceDN w:val="0"/>
        <w:adjustRightInd w:val="0"/>
        <w:rPr>
          <w:rFonts w:ascii="GaramondPremrPro" w:hAnsi="GaramondPremrPro" w:cs="GaramondPremrPro"/>
          <w:szCs w:val="24"/>
        </w:rPr>
      </w:pPr>
      <w:r w:rsidRPr="0043656C">
        <w:rPr>
          <w:rFonts w:ascii="GaramondPremrPro" w:hAnsi="GaramondPremrPro" w:cs="GaramondPremrPro"/>
          <w:szCs w:val="24"/>
        </w:rPr>
        <w:tab/>
        <w:t xml:space="preserve">Para </w:t>
      </w:r>
      <w:r>
        <w:rPr>
          <w:rFonts w:ascii="GaramondPremrPro" w:hAnsi="GaramondPremrPro" w:cs="GaramondPremrPro"/>
          <w:szCs w:val="24"/>
        </w:rPr>
        <w:t xml:space="preserve">efectos del análisis sobre la situación de la protección social en el Ecuador vamos a tomar como referencia el esquema propuesto en un documento de la CEPAL, considerando que se trata de un estudio detallado y actualizado sobre el proceso de construcción de una política de protección social en el país, particularmente durante el </w:t>
      </w:r>
      <w:r>
        <w:rPr>
          <w:rFonts w:ascii="GaramondPremrPro" w:hAnsi="GaramondPremrPro" w:cs="GaramondPremrPro"/>
          <w:szCs w:val="24"/>
        </w:rPr>
        <w:lastRenderedPageBreak/>
        <w:t>gobierno de Correa</w:t>
      </w:r>
      <w:r>
        <w:rPr>
          <w:rStyle w:val="Refdenotaalpie"/>
          <w:rFonts w:ascii="GaramondPremrPro" w:hAnsi="GaramondPremrPro" w:cs="GaramondPremrPro"/>
          <w:szCs w:val="24"/>
        </w:rPr>
        <w:footnoteReference w:id="4"/>
      </w:r>
      <w:r>
        <w:rPr>
          <w:rFonts w:ascii="GaramondPremrPro" w:hAnsi="GaramondPremrPro" w:cs="GaramondPremrPro"/>
          <w:szCs w:val="24"/>
        </w:rPr>
        <w:t>.</w:t>
      </w:r>
      <w:r w:rsidR="009D40BC">
        <w:rPr>
          <w:rFonts w:ascii="GaramondPremrPro" w:hAnsi="GaramondPremrPro" w:cs="GaramondPremrPro"/>
          <w:szCs w:val="24"/>
        </w:rPr>
        <w:t xml:space="preserve"> No obstante, es necesario señalar que la pos</w:t>
      </w:r>
      <w:r w:rsidR="00670789">
        <w:rPr>
          <w:rFonts w:ascii="GaramondPremrPro" w:hAnsi="GaramondPremrPro" w:cs="GaramondPremrPro"/>
          <w:szCs w:val="24"/>
        </w:rPr>
        <w:t>ición que recoge este documento</w:t>
      </w:r>
      <w:r w:rsidR="009D40BC">
        <w:rPr>
          <w:rFonts w:ascii="GaramondPremrPro" w:hAnsi="GaramondPremrPro" w:cs="GaramondPremrPro"/>
          <w:szCs w:val="24"/>
        </w:rPr>
        <w:t xml:space="preserve"> es, en general, favorable a las orientaciones y decisiones tomadas por el gobierno ecuatoriano, habida cuenta de que los postulados sobre los que se asientan las políticas de protección social tienen </w:t>
      </w:r>
      <w:r w:rsidR="00670789">
        <w:rPr>
          <w:rFonts w:ascii="GaramondPremrPro" w:hAnsi="GaramondPremrPro" w:cs="GaramondPremrPro"/>
          <w:szCs w:val="24"/>
        </w:rPr>
        <w:t>plena</w:t>
      </w:r>
      <w:r w:rsidR="009D40BC">
        <w:rPr>
          <w:rFonts w:ascii="GaramondPremrPro" w:hAnsi="GaramondPremrPro" w:cs="GaramondPremrPro"/>
          <w:szCs w:val="24"/>
        </w:rPr>
        <w:t xml:space="preserve"> coincidencia con l</w:t>
      </w:r>
      <w:r w:rsidR="00670789">
        <w:rPr>
          <w:rFonts w:ascii="GaramondPremrPro" w:hAnsi="GaramondPremrPro" w:cs="GaramondPremrPro"/>
          <w:szCs w:val="24"/>
        </w:rPr>
        <w:t>a</w:t>
      </w:r>
      <w:r w:rsidR="009D40BC">
        <w:rPr>
          <w:rFonts w:ascii="GaramondPremrPro" w:hAnsi="GaramondPremrPro" w:cs="GaramondPremrPro"/>
          <w:szCs w:val="24"/>
        </w:rPr>
        <w:t xml:space="preserve">s del organismo regional. Es más, equipos técnicos de la CEPAL han participado en forma directa en algunos eventos de análisis, discusión y planificación del tema realizados por instituciones del Estado ecuatoriano. Con esta aclaración procedemos a realizar un análisis </w:t>
      </w:r>
      <w:r w:rsidR="00670789">
        <w:rPr>
          <w:rFonts w:ascii="GaramondPremrPro" w:hAnsi="GaramondPremrPro" w:cs="GaramondPremrPro"/>
          <w:szCs w:val="24"/>
        </w:rPr>
        <w:t>crítico</w:t>
      </w:r>
      <w:r w:rsidR="009D40BC">
        <w:rPr>
          <w:rFonts w:ascii="GaramondPremrPro" w:hAnsi="GaramondPremrPro" w:cs="GaramondPremrPro"/>
          <w:szCs w:val="24"/>
        </w:rPr>
        <w:t xml:space="preserve"> del documento, respaldándonos con información obtenida directamente por nosotros. Es imprescindible añadir, sin embargo, que el acceso a información pública es sumamente restringido en nuestro país, a pesar de </w:t>
      </w:r>
      <w:r w:rsidR="00670789">
        <w:rPr>
          <w:rFonts w:ascii="GaramondPremrPro" w:hAnsi="GaramondPremrPro" w:cs="GaramondPremrPro"/>
          <w:szCs w:val="24"/>
        </w:rPr>
        <w:t>existir</w:t>
      </w:r>
      <w:r w:rsidR="009D40BC">
        <w:rPr>
          <w:rFonts w:ascii="GaramondPremrPro" w:hAnsi="GaramondPremrPro" w:cs="GaramondPremrPro"/>
          <w:szCs w:val="24"/>
        </w:rPr>
        <w:t xml:space="preserve"> leyes que obligan a su difusión.</w:t>
      </w:r>
    </w:p>
    <w:p w:rsidR="009D40BC" w:rsidRDefault="0019039B" w:rsidP="005445A1">
      <w:pPr>
        <w:autoSpaceDE w:val="0"/>
        <w:autoSpaceDN w:val="0"/>
        <w:adjustRightInd w:val="0"/>
        <w:ind w:firstLine="280"/>
        <w:rPr>
          <w:rFonts w:ascii="GaramondPremrPro" w:hAnsi="GaramondPremrPro" w:cs="GaramondPremrPro"/>
          <w:szCs w:val="24"/>
        </w:rPr>
      </w:pPr>
      <w:r>
        <w:rPr>
          <w:rFonts w:ascii="GaramondPremrPro" w:hAnsi="GaramondPremrPro" w:cs="GaramondPremrPro"/>
          <w:szCs w:val="24"/>
        </w:rPr>
        <w:t xml:space="preserve">En la línea </w:t>
      </w:r>
      <w:proofErr w:type="spellStart"/>
      <w:r>
        <w:rPr>
          <w:rFonts w:ascii="GaramondPremrPro" w:hAnsi="GaramondPremrPro" w:cs="GaramondPremrPro"/>
          <w:szCs w:val="24"/>
        </w:rPr>
        <w:t>neodesarrollista</w:t>
      </w:r>
      <w:proofErr w:type="spellEnd"/>
      <w:r>
        <w:rPr>
          <w:rFonts w:ascii="GaramondPremrPro" w:hAnsi="GaramondPremrPro" w:cs="GaramondPremrPro"/>
          <w:szCs w:val="24"/>
        </w:rPr>
        <w:t xml:space="preserve"> que caracteriza a las posturas de la CEPAL, la protección </w:t>
      </w:r>
      <w:r w:rsidR="00FD7878">
        <w:rPr>
          <w:rFonts w:ascii="GaramondPremrPro" w:hAnsi="GaramondPremrPro" w:cs="GaramondPremrPro"/>
          <w:szCs w:val="24"/>
        </w:rPr>
        <w:t>social est</w:t>
      </w:r>
      <w:r>
        <w:rPr>
          <w:rFonts w:ascii="GaramondPremrPro" w:hAnsi="GaramondPremrPro" w:cs="GaramondPremrPro"/>
          <w:szCs w:val="24"/>
        </w:rPr>
        <w:t xml:space="preserve">á fundamentada en tres ámbitos generales de intervención: la erradicación de la pobreza, la consolidación de un sistema de protección social inclusivo y el fortalecimiento de sistema de cuidado durante el ciclo de vida. </w:t>
      </w:r>
      <w:r w:rsidR="005445A1">
        <w:rPr>
          <w:rFonts w:ascii="GaramondPremrPro" w:hAnsi="GaramondPremrPro" w:cs="GaramondPremrPro"/>
          <w:szCs w:val="24"/>
        </w:rPr>
        <w:t xml:space="preserve">Además de la escolaridad y de la dotación de agua y alcantarillado, considera que el acceso a ingresos procedentes de un trabajo digno es la condición más sobresaliente para lograr una protección social integral. Sin embargo, el documento no aborda el problema estructural del empleo dentro de la lógica económica del capitalismo global. En más, presume </w:t>
      </w:r>
      <w:r w:rsidR="00FD7878">
        <w:rPr>
          <w:rFonts w:ascii="GaramondPremrPro" w:hAnsi="GaramondPremrPro" w:cs="GaramondPremrPro"/>
          <w:szCs w:val="24"/>
        </w:rPr>
        <w:t xml:space="preserve">que </w:t>
      </w:r>
      <w:r w:rsidR="005445A1">
        <w:rPr>
          <w:rFonts w:ascii="GaramondPremrPro" w:hAnsi="GaramondPremrPro" w:cs="GaramondPremrPro"/>
          <w:szCs w:val="24"/>
        </w:rPr>
        <w:t xml:space="preserve">estrategias como los acuerdos con los sectores más dinámicos de la economía (es decir </w:t>
      </w:r>
      <w:r w:rsidR="00FD7878">
        <w:rPr>
          <w:rFonts w:ascii="GaramondPremrPro" w:hAnsi="GaramondPremrPro" w:cs="GaramondPremrPro"/>
          <w:szCs w:val="24"/>
        </w:rPr>
        <w:t xml:space="preserve">con </w:t>
      </w:r>
      <w:r w:rsidR="005445A1">
        <w:rPr>
          <w:rFonts w:ascii="GaramondPremrPro" w:hAnsi="GaramondPremrPro" w:cs="GaramondPremrPro"/>
          <w:szCs w:val="24"/>
        </w:rPr>
        <w:t>las empresas articuladas al mercado mundial)</w:t>
      </w:r>
      <w:r w:rsidR="00FD7878">
        <w:rPr>
          <w:rFonts w:ascii="GaramondPremrPro" w:hAnsi="GaramondPremrPro" w:cs="GaramondPremrPro"/>
          <w:szCs w:val="24"/>
        </w:rPr>
        <w:t xml:space="preserve"> pueden resolver la oferta de empleo a los grupos marginales o menos favorecidos. Esta expectativa contradice las evidencias que demuestran q</w:t>
      </w:r>
      <w:r w:rsidR="00586296">
        <w:rPr>
          <w:rFonts w:ascii="GaramondPremrPro" w:hAnsi="GaramondPremrPro" w:cs="GaramondPremrPro"/>
          <w:szCs w:val="24"/>
        </w:rPr>
        <w:t>ue estos sectores son los que</w:t>
      </w:r>
      <w:r w:rsidR="00FD7878">
        <w:rPr>
          <w:rFonts w:ascii="GaramondPremrPro" w:hAnsi="GaramondPremrPro" w:cs="GaramondPremrPro"/>
          <w:szCs w:val="24"/>
        </w:rPr>
        <w:t xml:space="preserve"> me</w:t>
      </w:r>
      <w:r w:rsidR="00586296">
        <w:rPr>
          <w:rFonts w:ascii="GaramondPremrPro" w:hAnsi="GaramondPremrPro" w:cs="GaramondPremrPro"/>
          <w:szCs w:val="24"/>
        </w:rPr>
        <w:t xml:space="preserve">nos puestos de trabajo generan y los que  menos transferencia de capital realizan en favor de los trabajadores. En </w:t>
      </w:r>
      <w:r w:rsidR="00670789">
        <w:rPr>
          <w:rFonts w:ascii="GaramondPremrPro" w:hAnsi="GaramondPremrPro" w:cs="GaramondPremrPro"/>
          <w:szCs w:val="24"/>
        </w:rPr>
        <w:t>la práct</w:t>
      </w:r>
      <w:r w:rsidR="00586296">
        <w:rPr>
          <w:rFonts w:ascii="GaramondPremrPro" w:hAnsi="GaramondPremrPro" w:cs="GaramondPremrPro"/>
          <w:szCs w:val="24"/>
        </w:rPr>
        <w:t>ica, la inversión pública durante el actual gobierno ha favorecido casi exclusivamente a los grandes grupos monopólicos, cuyos ingresos y rentabilidad durante este período son los mayores en la historia nacional</w:t>
      </w:r>
      <w:r w:rsidR="00586296">
        <w:rPr>
          <w:rStyle w:val="Refdenotaalpie"/>
          <w:rFonts w:ascii="GaramondPremrPro" w:hAnsi="GaramondPremrPro" w:cs="GaramondPremrPro"/>
          <w:szCs w:val="24"/>
        </w:rPr>
        <w:footnoteReference w:id="5"/>
      </w:r>
      <w:r w:rsidR="00586296">
        <w:rPr>
          <w:rFonts w:ascii="GaramondPremrPro" w:hAnsi="GaramondPremrPro" w:cs="GaramondPremrPro"/>
          <w:szCs w:val="24"/>
        </w:rPr>
        <w:t>.</w:t>
      </w:r>
      <w:r w:rsidR="0055312F">
        <w:rPr>
          <w:rFonts w:ascii="GaramondPremrPro" w:hAnsi="GaramondPremrPro" w:cs="GaramondPremrPro"/>
          <w:szCs w:val="24"/>
        </w:rPr>
        <w:t xml:space="preserve"> La proporción de inversión pública destinada a lo que se denomina como economía social y solidaria, es decir a las empresas familiares y comun</w:t>
      </w:r>
      <w:r w:rsidR="00670789">
        <w:rPr>
          <w:rFonts w:ascii="GaramondPremrPro" w:hAnsi="GaramondPremrPro" w:cs="GaramondPremrPro"/>
          <w:szCs w:val="24"/>
        </w:rPr>
        <w:t>i</w:t>
      </w:r>
      <w:r w:rsidR="0055312F">
        <w:rPr>
          <w:rFonts w:ascii="GaramondPremrPro" w:hAnsi="GaramondPremrPro" w:cs="GaramondPremrPro"/>
          <w:szCs w:val="24"/>
        </w:rPr>
        <w:t>tarias, sigue siendo irrisoria.</w:t>
      </w:r>
    </w:p>
    <w:p w:rsidR="0055312F" w:rsidRDefault="001009EA" w:rsidP="00630629">
      <w:pPr>
        <w:autoSpaceDE w:val="0"/>
        <w:autoSpaceDN w:val="0"/>
        <w:adjustRightInd w:val="0"/>
        <w:ind w:firstLine="425"/>
        <w:rPr>
          <w:rFonts w:ascii="GaramondPremrPro" w:hAnsi="GaramondPremrPro" w:cs="GaramondPremrPro"/>
          <w:szCs w:val="24"/>
        </w:rPr>
      </w:pPr>
      <w:r>
        <w:rPr>
          <w:rFonts w:ascii="GaramondPremrPro" w:hAnsi="GaramondPremrPro" w:cs="GaramondPremrPro"/>
          <w:szCs w:val="24"/>
        </w:rPr>
        <w:t>Esto explica el incremento de las familias beneficiarias del Bono de Desarrollo Humano (BDH) en los últimos años, como una medida asistencial para compensar la falta o la reducción de ingresos provenientes del trabajo</w:t>
      </w:r>
      <w:r>
        <w:rPr>
          <w:rStyle w:val="Refdenotaalpie"/>
          <w:rFonts w:ascii="GaramondPremrPro" w:hAnsi="GaramondPremrPro" w:cs="GaramondPremrPro"/>
          <w:szCs w:val="24"/>
        </w:rPr>
        <w:footnoteReference w:id="6"/>
      </w:r>
      <w:r>
        <w:rPr>
          <w:rFonts w:ascii="GaramondPremrPro" w:hAnsi="GaramondPremrPro" w:cs="GaramondPremrPro"/>
          <w:szCs w:val="24"/>
        </w:rPr>
        <w:t>.</w:t>
      </w:r>
      <w:r w:rsidR="00351A7D">
        <w:rPr>
          <w:rFonts w:ascii="GaramondPremrPro" w:hAnsi="GaramondPremrPro" w:cs="GaramondPremrPro"/>
          <w:szCs w:val="24"/>
        </w:rPr>
        <w:t xml:space="preserve"> En este sentido, el Ecuador aún  no logra salir del esquema neoliberal de protección soc</w:t>
      </w:r>
      <w:r w:rsidR="00670789">
        <w:rPr>
          <w:rFonts w:ascii="GaramondPremrPro" w:hAnsi="GaramondPremrPro" w:cs="GaramondPremrPro"/>
          <w:szCs w:val="24"/>
        </w:rPr>
        <w:t>ial que se basa en las respuest</w:t>
      </w:r>
      <w:r w:rsidR="00351A7D">
        <w:rPr>
          <w:rFonts w:ascii="GaramondPremrPro" w:hAnsi="GaramondPremrPro" w:cs="GaramondPremrPro"/>
          <w:szCs w:val="24"/>
        </w:rPr>
        <w:t>as de emergencia destinadas a paliar o amortiguar las políticas de ajuste. Todavía estaríamos ubicados, en buena parte, en el segundo enfo</w:t>
      </w:r>
      <w:r w:rsidR="00670789">
        <w:rPr>
          <w:rFonts w:ascii="GaramondPremrPro" w:hAnsi="GaramondPremrPro" w:cs="GaramondPremrPro"/>
          <w:szCs w:val="24"/>
        </w:rPr>
        <w:t>que de la protección social est</w:t>
      </w:r>
      <w:r w:rsidR="00351A7D">
        <w:rPr>
          <w:rFonts w:ascii="GaramondPremrPro" w:hAnsi="GaramondPremrPro" w:cs="GaramondPremrPro"/>
          <w:szCs w:val="24"/>
        </w:rPr>
        <w:t>ablecido por la CEPAL</w:t>
      </w:r>
      <w:r w:rsidR="00351A7D">
        <w:rPr>
          <w:rStyle w:val="Refdenotaalpie"/>
          <w:rFonts w:ascii="GaramondPremrPro" w:hAnsi="GaramondPremrPro" w:cs="GaramondPremrPro"/>
          <w:szCs w:val="24"/>
        </w:rPr>
        <w:footnoteReference w:id="7"/>
      </w:r>
      <w:r w:rsidR="00601184">
        <w:rPr>
          <w:rFonts w:ascii="GaramondPremrPro" w:hAnsi="GaramondPremrPro" w:cs="GaramondPremrPro"/>
          <w:szCs w:val="24"/>
        </w:rPr>
        <w:t>, aunque según el documento</w:t>
      </w:r>
      <w:r w:rsidR="00351A7D">
        <w:rPr>
          <w:rFonts w:ascii="GaramondPremrPro" w:hAnsi="GaramondPremrPro" w:cs="GaramondPremrPro"/>
          <w:szCs w:val="24"/>
        </w:rPr>
        <w:t xml:space="preserve"> se afirma que ya habríamos pasado el tercer enfoque, donde los rezagos neoliberales se combinan con políticas de prevención y acumulación de capital humano.</w:t>
      </w:r>
    </w:p>
    <w:p w:rsidR="00630629" w:rsidRDefault="00630629" w:rsidP="00630629">
      <w:pPr>
        <w:autoSpaceDE w:val="0"/>
        <w:autoSpaceDN w:val="0"/>
        <w:adjustRightInd w:val="0"/>
        <w:rPr>
          <w:rFonts w:ascii="GaramondPremrPro" w:hAnsi="GaramondPremrPro" w:cs="GaramondPremrPro"/>
          <w:szCs w:val="24"/>
        </w:rPr>
      </w:pPr>
      <w:r>
        <w:rPr>
          <w:rFonts w:ascii="GaramondPremrPro" w:hAnsi="GaramondPremrPro" w:cs="GaramondPremrPro"/>
          <w:szCs w:val="24"/>
        </w:rPr>
        <w:tab/>
        <w:t>Según el mismo documento, la orientación inicial del gobierno de Correa siempre apuntó a construir una protección</w:t>
      </w:r>
      <w:r w:rsidR="00670789">
        <w:rPr>
          <w:rFonts w:ascii="GaramondPremrPro" w:hAnsi="GaramondPremrPro" w:cs="GaramondPremrPro"/>
          <w:szCs w:val="24"/>
        </w:rPr>
        <w:t xml:space="preserve"> </w:t>
      </w:r>
      <w:r>
        <w:rPr>
          <w:rFonts w:ascii="GaramondPremrPro" w:hAnsi="GaramondPremrPro" w:cs="GaramondPremrPro"/>
          <w:szCs w:val="24"/>
        </w:rPr>
        <w:t xml:space="preserve">social desde un </w:t>
      </w:r>
      <w:r w:rsidR="00670789">
        <w:rPr>
          <w:rFonts w:ascii="GaramondPremrPro" w:hAnsi="GaramondPremrPro" w:cs="GaramondPremrPro"/>
          <w:szCs w:val="24"/>
        </w:rPr>
        <w:t>enfoque in</w:t>
      </w:r>
      <w:r>
        <w:rPr>
          <w:rFonts w:ascii="GaramondPremrPro" w:hAnsi="GaramondPremrPro" w:cs="GaramondPremrPro"/>
          <w:szCs w:val="24"/>
        </w:rPr>
        <w:t>tegral, inclusivo y garantista,</w:t>
      </w:r>
      <w:r w:rsidR="00670789">
        <w:rPr>
          <w:rFonts w:ascii="GaramondPremrPro" w:hAnsi="GaramondPremrPro" w:cs="GaramondPremrPro"/>
          <w:szCs w:val="24"/>
        </w:rPr>
        <w:t xml:space="preserve"> </w:t>
      </w:r>
      <w:r>
        <w:rPr>
          <w:rFonts w:ascii="GaramondPremrPro" w:hAnsi="GaramondPremrPro" w:cs="GaramondPremrPro"/>
          <w:szCs w:val="24"/>
        </w:rPr>
        <w:t>propósito que habría empezado a aplicarse desde el año 2013, gracias a la consolidación</w:t>
      </w:r>
      <w:r w:rsidR="00670789">
        <w:rPr>
          <w:rFonts w:ascii="GaramondPremrPro" w:hAnsi="GaramondPremrPro" w:cs="GaramondPremrPro"/>
          <w:szCs w:val="24"/>
        </w:rPr>
        <w:t xml:space="preserve"> política</w:t>
      </w:r>
      <w:r>
        <w:rPr>
          <w:rFonts w:ascii="GaramondPremrPro" w:hAnsi="GaramondPremrPro" w:cs="GaramondPremrPro"/>
          <w:szCs w:val="24"/>
        </w:rPr>
        <w:t xml:space="preserve"> del régimen luego del triunfo electoral de febrero. Esta perspectiva se basaría fundamentalmente en tres elementos: la Estrategia Nacional de Igualdad y Erradicación </w:t>
      </w:r>
      <w:r>
        <w:rPr>
          <w:rFonts w:ascii="GaramondPremrPro" w:hAnsi="GaramondPremrPro" w:cs="GaramondPremrPro"/>
          <w:szCs w:val="24"/>
        </w:rPr>
        <w:lastRenderedPageBreak/>
        <w:t>de la pobreza (ENIEP), la Estrategia Nacional de Cambio de Matriz Productiva (ENCMP) y la creación de un Sistema Universal Obligatorio (SUO) de seguridad social. Estas estrategias serían la continuación de los logros obtenidos en</w:t>
      </w:r>
      <w:r w:rsidR="00F727CE">
        <w:rPr>
          <w:rFonts w:ascii="GaramondPremrPro" w:hAnsi="GaramondPremrPro" w:cs="GaramondPremrPro"/>
          <w:szCs w:val="24"/>
        </w:rPr>
        <w:t xml:space="preserve"> </w:t>
      </w:r>
      <w:r>
        <w:rPr>
          <w:rFonts w:ascii="GaramondPremrPro" w:hAnsi="GaramondPremrPro" w:cs="GaramondPremrPro"/>
          <w:szCs w:val="24"/>
        </w:rPr>
        <w:t>cuanto a re</w:t>
      </w:r>
      <w:r w:rsidR="00F727CE">
        <w:rPr>
          <w:rFonts w:ascii="GaramondPremrPro" w:hAnsi="GaramondPremrPro" w:cs="GaramondPremrPro"/>
          <w:szCs w:val="24"/>
        </w:rPr>
        <w:t>ducción de la pobreza y disminu</w:t>
      </w:r>
      <w:r>
        <w:rPr>
          <w:rFonts w:ascii="GaramondPremrPro" w:hAnsi="GaramondPremrPro" w:cs="GaramondPremrPro"/>
          <w:szCs w:val="24"/>
        </w:rPr>
        <w:t>ción de las desigualdades.</w:t>
      </w:r>
      <w:r w:rsidR="00F727CE">
        <w:rPr>
          <w:rFonts w:ascii="GaramondPremrPro" w:hAnsi="GaramondPremrPro" w:cs="GaramondPremrPro"/>
          <w:szCs w:val="24"/>
        </w:rPr>
        <w:t xml:space="preserve"> No obstante, la información sobre estos logros debe ser relativizada si se la contrasta con los datos sobre concentración de capital en el Ecuador. En </w:t>
      </w:r>
      <w:r w:rsidR="00670789">
        <w:rPr>
          <w:rFonts w:ascii="GaramondPremrPro" w:hAnsi="GaramondPremrPro" w:cs="GaramondPremrPro"/>
          <w:szCs w:val="24"/>
        </w:rPr>
        <w:t>efecto, pese a la mayor distri</w:t>
      </w:r>
      <w:r w:rsidR="00F727CE">
        <w:rPr>
          <w:rFonts w:ascii="GaramondPremrPro" w:hAnsi="GaramondPremrPro" w:cs="GaramondPremrPro"/>
          <w:szCs w:val="24"/>
        </w:rPr>
        <w:t>bución de recursos</w:t>
      </w:r>
      <w:r w:rsidR="009C2AAC">
        <w:rPr>
          <w:rFonts w:ascii="GaramondPremrPro" w:hAnsi="GaramondPremrPro" w:cs="GaramondPremrPro"/>
          <w:szCs w:val="24"/>
        </w:rPr>
        <w:t xml:space="preserve"> a favor de la pob</w:t>
      </w:r>
      <w:r w:rsidR="000A68E9">
        <w:rPr>
          <w:rFonts w:ascii="GaramondPremrPro" w:hAnsi="GaramondPremrPro" w:cs="GaramondPremrPro"/>
          <w:szCs w:val="24"/>
        </w:rPr>
        <w:t>lación má</w:t>
      </w:r>
      <w:r w:rsidR="009C2AAC">
        <w:rPr>
          <w:rFonts w:ascii="GaramondPremrPro" w:hAnsi="GaramondPremrPro" w:cs="GaramondPremrPro"/>
          <w:szCs w:val="24"/>
        </w:rPr>
        <w:t>s pobre, la brecha entre esta y</w:t>
      </w:r>
      <w:r w:rsidR="00670789">
        <w:rPr>
          <w:rFonts w:ascii="GaramondPremrPro" w:hAnsi="GaramondPremrPro" w:cs="GaramondPremrPro"/>
          <w:szCs w:val="24"/>
        </w:rPr>
        <w:t xml:space="preserve"> </w:t>
      </w:r>
      <w:r w:rsidR="009C2AAC">
        <w:rPr>
          <w:rFonts w:ascii="GaramondPremrPro" w:hAnsi="GaramondPremrPro" w:cs="GaramondPremrPro"/>
          <w:szCs w:val="24"/>
        </w:rPr>
        <w:t>los grupos más ricos se ha  ahondado en estos años debido a las nuevas lógicas de acumulación monopólica de capital</w:t>
      </w:r>
      <w:r w:rsidR="009C2AAC">
        <w:rPr>
          <w:rStyle w:val="Refdenotaalpie"/>
          <w:rFonts w:ascii="GaramondPremrPro" w:hAnsi="GaramondPremrPro" w:cs="GaramondPremrPro"/>
          <w:szCs w:val="24"/>
        </w:rPr>
        <w:footnoteReference w:id="8"/>
      </w:r>
      <w:r w:rsidR="009C2AAC">
        <w:rPr>
          <w:rFonts w:ascii="GaramondPremrPro" w:hAnsi="GaramondPremrPro" w:cs="GaramondPremrPro"/>
          <w:szCs w:val="24"/>
        </w:rPr>
        <w:t>.</w:t>
      </w:r>
      <w:r w:rsidR="00307F39">
        <w:rPr>
          <w:rFonts w:ascii="GaramondPremrPro" w:hAnsi="GaramondPremrPro" w:cs="GaramondPremrPro"/>
          <w:szCs w:val="24"/>
        </w:rPr>
        <w:t xml:space="preserve"> </w:t>
      </w:r>
      <w:r w:rsidR="00C338B5">
        <w:rPr>
          <w:rFonts w:ascii="GaramondPremrPro" w:hAnsi="GaramondPremrPro" w:cs="GaramondPremrPro"/>
          <w:szCs w:val="24"/>
        </w:rPr>
        <w:t xml:space="preserve">Si bien el reparto del pastel ha beneficiado a todos gracias a la </w:t>
      </w:r>
      <w:r w:rsidR="00670789">
        <w:rPr>
          <w:rFonts w:ascii="GaramondPremrPro" w:hAnsi="GaramondPremrPro" w:cs="GaramondPremrPro"/>
          <w:szCs w:val="24"/>
        </w:rPr>
        <w:t>abundan</w:t>
      </w:r>
      <w:r w:rsidR="000449F9">
        <w:rPr>
          <w:rFonts w:ascii="GaramondPremrPro" w:hAnsi="GaramondPremrPro" w:cs="GaramondPremrPro"/>
          <w:szCs w:val="24"/>
        </w:rPr>
        <w:t xml:space="preserve">te </w:t>
      </w:r>
      <w:r w:rsidR="00C338B5">
        <w:rPr>
          <w:rFonts w:ascii="GaramondPremrPro" w:hAnsi="GaramondPremrPro" w:cs="GaramondPremrPro"/>
          <w:szCs w:val="24"/>
        </w:rPr>
        <w:t xml:space="preserve">disponibilidad de recursos financieros obtenidos sobre todo </w:t>
      </w:r>
      <w:r w:rsidR="000449F9">
        <w:rPr>
          <w:rFonts w:ascii="GaramondPremrPro" w:hAnsi="GaramondPremrPro" w:cs="GaramondPremrPro"/>
          <w:szCs w:val="24"/>
        </w:rPr>
        <w:t>por</w:t>
      </w:r>
      <w:r w:rsidR="00C338B5">
        <w:rPr>
          <w:rFonts w:ascii="GaramondPremrPro" w:hAnsi="GaramondPremrPro" w:cs="GaramondPremrPro"/>
          <w:szCs w:val="24"/>
        </w:rPr>
        <w:t xml:space="preserve"> los elevados precios del petróleo, los grandes grupos oligárquicos han sido los más beneficiados en todos los sentidos.</w:t>
      </w:r>
      <w:r w:rsidR="007133B1">
        <w:rPr>
          <w:rFonts w:ascii="GaramondPremrPro" w:hAnsi="GaramondPremrPro" w:cs="GaramondPremrPro"/>
          <w:szCs w:val="24"/>
        </w:rPr>
        <w:t xml:space="preserve"> Basta revisar la información sobre las empresas más grandes del país</w:t>
      </w:r>
      <w:r w:rsidR="007133B1">
        <w:rPr>
          <w:rStyle w:val="Refdenotaalpie"/>
          <w:rFonts w:ascii="GaramondPremrPro" w:hAnsi="GaramondPremrPro" w:cs="GaramondPremrPro"/>
          <w:szCs w:val="24"/>
        </w:rPr>
        <w:footnoteReference w:id="9"/>
      </w:r>
      <w:r w:rsidR="007133B1">
        <w:rPr>
          <w:rFonts w:ascii="GaramondPremrPro" w:hAnsi="GaramondPremrPro" w:cs="GaramondPremrPro"/>
          <w:szCs w:val="24"/>
        </w:rPr>
        <w:t xml:space="preserve"> para constatar que la mayoría </w:t>
      </w:r>
      <w:r w:rsidR="00680F21">
        <w:rPr>
          <w:rFonts w:ascii="GaramondPremrPro" w:hAnsi="GaramondPremrPro" w:cs="GaramondPremrPro"/>
          <w:szCs w:val="24"/>
        </w:rPr>
        <w:t>siguen siendo las mismas de siempre.</w:t>
      </w:r>
    </w:p>
    <w:p w:rsidR="009D40BC" w:rsidRDefault="00D55B90"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6D6224">
        <w:rPr>
          <w:rFonts w:ascii="GaramondPremrPro" w:hAnsi="GaramondPremrPro" w:cs="GaramondPremrPro"/>
          <w:szCs w:val="24"/>
        </w:rPr>
        <w:t>El ámbito de la salud y la seguridad social es particularmente ilustrativo. Pese a que la Constitución, el PNBV y</w:t>
      </w:r>
      <w:r w:rsidR="00670789">
        <w:rPr>
          <w:rFonts w:ascii="GaramondPremrPro" w:hAnsi="GaramondPremrPro" w:cs="GaramondPremrPro"/>
          <w:szCs w:val="24"/>
        </w:rPr>
        <w:t xml:space="preserve"> </w:t>
      </w:r>
      <w:r w:rsidR="006D6224">
        <w:rPr>
          <w:rFonts w:ascii="GaramondPremrPro" w:hAnsi="GaramondPremrPro" w:cs="GaramondPremrPro"/>
          <w:szCs w:val="24"/>
        </w:rPr>
        <w:t xml:space="preserve">las demás normas </w:t>
      </w:r>
      <w:r w:rsidR="00670789">
        <w:rPr>
          <w:rFonts w:ascii="GaramondPremrPro" w:hAnsi="GaramondPremrPro" w:cs="GaramondPremrPro"/>
          <w:szCs w:val="24"/>
        </w:rPr>
        <w:t>establecen</w:t>
      </w:r>
      <w:r w:rsidR="006D6224">
        <w:rPr>
          <w:rFonts w:ascii="GaramondPremrPro" w:hAnsi="GaramondPremrPro" w:cs="GaramondPremrPro"/>
          <w:szCs w:val="24"/>
        </w:rPr>
        <w:t xml:space="preserve"> taxativamente la prohibición de privatizar estos servicios</w:t>
      </w:r>
      <w:r w:rsidR="006D6224">
        <w:rPr>
          <w:rStyle w:val="Refdenotaalpie"/>
          <w:rFonts w:ascii="GaramondPremrPro" w:hAnsi="GaramondPremrPro" w:cs="GaramondPremrPro"/>
          <w:szCs w:val="24"/>
        </w:rPr>
        <w:footnoteReference w:id="10"/>
      </w:r>
      <w:r w:rsidR="001F264B">
        <w:rPr>
          <w:rFonts w:ascii="GaramondPremrPro" w:hAnsi="GaramondPremrPro" w:cs="GaramondPremrPro"/>
          <w:szCs w:val="24"/>
        </w:rPr>
        <w:t xml:space="preserve">, el régimen ha hecho </w:t>
      </w:r>
      <w:r w:rsidR="00670789">
        <w:rPr>
          <w:rFonts w:ascii="GaramondPremrPro" w:hAnsi="GaramondPremrPro" w:cs="GaramondPremrPro"/>
          <w:szCs w:val="24"/>
        </w:rPr>
        <w:t>justamente</w:t>
      </w:r>
      <w:r w:rsidR="001F264B">
        <w:rPr>
          <w:rFonts w:ascii="GaramondPremrPro" w:hAnsi="GaramondPremrPro" w:cs="GaramondPremrPro"/>
          <w:szCs w:val="24"/>
        </w:rPr>
        <w:t xml:space="preserve"> lo contrario a través del mecanismo de la subcontratación con el sector privado a fin de compensar las deficiencias de la capacidad instalada. Y esto selo ha hecho tanto desde el IESS como del  MSP. La proliferación de prestadores privados de servicios de salud y de aseguramiento en estos siete años es impresi</w:t>
      </w:r>
      <w:r w:rsidR="00670789">
        <w:rPr>
          <w:rFonts w:ascii="GaramondPremrPro" w:hAnsi="GaramondPremrPro" w:cs="GaramondPremrPro"/>
          <w:szCs w:val="24"/>
        </w:rPr>
        <w:t>o</w:t>
      </w:r>
      <w:r w:rsidR="001F264B">
        <w:rPr>
          <w:rFonts w:ascii="GaramondPremrPro" w:hAnsi="GaramondPremrPro" w:cs="GaramondPremrPro"/>
          <w:szCs w:val="24"/>
        </w:rPr>
        <w:t>nante, tanto como los ingresos que han conseguido</w:t>
      </w:r>
      <w:r w:rsidR="001F264B">
        <w:rPr>
          <w:rStyle w:val="Refdenotaalpie"/>
          <w:rFonts w:ascii="GaramondPremrPro" w:hAnsi="GaramondPremrPro" w:cs="GaramondPremrPro"/>
          <w:szCs w:val="24"/>
        </w:rPr>
        <w:footnoteReference w:id="11"/>
      </w:r>
      <w:r w:rsidR="001F264B">
        <w:rPr>
          <w:rFonts w:ascii="GaramondPremrPro" w:hAnsi="GaramondPremrPro" w:cs="GaramondPremrPro"/>
          <w:szCs w:val="24"/>
        </w:rPr>
        <w:t>.</w:t>
      </w:r>
      <w:r w:rsidR="00D7570F">
        <w:rPr>
          <w:rFonts w:ascii="GaramondPremrPro" w:hAnsi="GaramondPremrPro" w:cs="GaramondPremrPro"/>
          <w:szCs w:val="24"/>
        </w:rPr>
        <w:t xml:space="preserve"> </w:t>
      </w:r>
    </w:p>
    <w:p w:rsidR="00D7570F" w:rsidRDefault="00D7570F"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t>Algo similar ocurre a propósito de las estrategias definidas en el PNBV</w:t>
      </w:r>
      <w:r>
        <w:rPr>
          <w:rStyle w:val="Refdenotaalpie"/>
          <w:rFonts w:ascii="GaramondPremrPro" w:hAnsi="GaramondPremrPro" w:cs="GaramondPremrPro"/>
          <w:szCs w:val="24"/>
        </w:rPr>
        <w:footnoteReference w:id="12"/>
      </w:r>
      <w:r>
        <w:rPr>
          <w:rFonts w:ascii="GaramondPremrPro" w:hAnsi="GaramondPremrPro" w:cs="GaramondPremrPro"/>
          <w:szCs w:val="24"/>
        </w:rPr>
        <w:t>. El cambio de las relaciones de poder, la promoción de derechos, libertades y capacidades, y el cambio de la matriz productiva han quedado, en</w:t>
      </w:r>
      <w:r w:rsidR="00670789">
        <w:rPr>
          <w:rFonts w:ascii="GaramondPremrPro" w:hAnsi="GaramondPremrPro" w:cs="GaramondPremrPro"/>
          <w:szCs w:val="24"/>
        </w:rPr>
        <w:t xml:space="preserve"> </w:t>
      </w:r>
      <w:r>
        <w:rPr>
          <w:rFonts w:ascii="GaramondPremrPro" w:hAnsi="GaramondPremrPro" w:cs="GaramondPremrPro"/>
          <w:szCs w:val="24"/>
        </w:rPr>
        <w:t>el mejor de los casos, en</w:t>
      </w:r>
      <w:r w:rsidR="00670789">
        <w:rPr>
          <w:rFonts w:ascii="GaramondPremrPro" w:hAnsi="GaramondPremrPro" w:cs="GaramondPremrPro"/>
          <w:szCs w:val="24"/>
        </w:rPr>
        <w:t xml:space="preserve"> </w:t>
      </w:r>
      <w:proofErr w:type="gramStart"/>
      <w:r>
        <w:rPr>
          <w:rFonts w:ascii="GaramondPremrPro" w:hAnsi="GaramondPremrPro" w:cs="GaramondPremrPro"/>
          <w:szCs w:val="24"/>
        </w:rPr>
        <w:t>la</w:t>
      </w:r>
      <w:proofErr w:type="gramEnd"/>
      <w:r>
        <w:rPr>
          <w:rFonts w:ascii="GaramondPremrPro" w:hAnsi="GaramondPremrPro" w:cs="GaramondPremrPro"/>
          <w:szCs w:val="24"/>
        </w:rPr>
        <w:t xml:space="preserve"> plano retórico. En primer lugar, el desmantelamiento de muchas organizaciones y movimientos sociales ha derivado en</w:t>
      </w:r>
      <w:r w:rsidR="00670789">
        <w:rPr>
          <w:rFonts w:ascii="GaramondPremrPro" w:hAnsi="GaramondPremrPro" w:cs="GaramondPremrPro"/>
          <w:szCs w:val="24"/>
        </w:rPr>
        <w:t xml:space="preserve"> </w:t>
      </w:r>
      <w:r>
        <w:rPr>
          <w:rFonts w:ascii="GaramondPremrPro" w:hAnsi="GaramondPremrPro" w:cs="GaramondPremrPro"/>
          <w:szCs w:val="24"/>
        </w:rPr>
        <w:t xml:space="preserve">una mayor </w:t>
      </w:r>
      <w:r w:rsidR="00670789">
        <w:rPr>
          <w:rFonts w:ascii="GaramondPremrPro" w:hAnsi="GaramondPremrPro" w:cs="GaramondPremrPro"/>
          <w:szCs w:val="24"/>
        </w:rPr>
        <w:t>concentración</w:t>
      </w:r>
      <w:r>
        <w:rPr>
          <w:rFonts w:ascii="GaramondPremrPro" w:hAnsi="GaramondPremrPro" w:cs="GaramondPremrPro"/>
          <w:szCs w:val="24"/>
        </w:rPr>
        <w:t xml:space="preserve"> de poder en el apara</w:t>
      </w:r>
      <w:r w:rsidR="00670789">
        <w:rPr>
          <w:rFonts w:ascii="GaramondPremrPro" w:hAnsi="GaramondPremrPro" w:cs="GaramondPremrPro"/>
          <w:szCs w:val="24"/>
        </w:rPr>
        <w:t>to estatal y en una debilidad c</w:t>
      </w:r>
      <w:r>
        <w:rPr>
          <w:rFonts w:ascii="GaramondPremrPro" w:hAnsi="GaramondPremrPro" w:cs="GaramondPremrPro"/>
          <w:szCs w:val="24"/>
        </w:rPr>
        <w:t xml:space="preserve">rónica de la sociedad. De </w:t>
      </w:r>
      <w:r w:rsidR="00670789">
        <w:rPr>
          <w:rFonts w:ascii="GaramondPremrPro" w:hAnsi="GaramondPremrPro" w:cs="GaramondPremrPro"/>
          <w:szCs w:val="24"/>
        </w:rPr>
        <w:t xml:space="preserve">este modo, no solo se </w:t>
      </w:r>
      <w:r>
        <w:rPr>
          <w:rFonts w:ascii="GaramondPremrPro" w:hAnsi="GaramondPremrPro" w:cs="GaramondPremrPro"/>
          <w:szCs w:val="24"/>
        </w:rPr>
        <w:t xml:space="preserve">impide la participación y fiscalización sociales, sino que se anula la vieja </w:t>
      </w:r>
      <w:r w:rsidR="00670789">
        <w:rPr>
          <w:rFonts w:ascii="GaramondPremrPro" w:hAnsi="GaramondPremrPro" w:cs="GaramondPremrPro"/>
          <w:szCs w:val="24"/>
        </w:rPr>
        <w:t>aspiración</w:t>
      </w:r>
      <w:r>
        <w:rPr>
          <w:rFonts w:ascii="GaramondPremrPro" w:hAnsi="GaramondPremrPro" w:cs="GaramondPremrPro"/>
          <w:szCs w:val="24"/>
        </w:rPr>
        <w:t xml:space="preserve"> de democratizar el poder a favor de la sociedad civil. Hoy, las grandes decisiones se toman, más que nunca, en los reducidos y restringidos conciliábulos del poder político, en muchas ocasiones de espaldas al pueblo. Es lo que ocurrió con la firma del Tratado de Libre Comercio (TLC) con la Unión Europea (UE).</w:t>
      </w:r>
    </w:p>
    <w:p w:rsidR="00D7570F" w:rsidRDefault="00D7570F"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713981">
        <w:rPr>
          <w:rFonts w:ascii="GaramondPremrPro" w:hAnsi="GaramondPremrPro" w:cs="GaramondPremrPro"/>
          <w:szCs w:val="24"/>
        </w:rPr>
        <w:t xml:space="preserve">El punto de los derechos y libertades también tiene serios cuestionamientos desde los movimientos y organizaciones sociales. La </w:t>
      </w:r>
      <w:r w:rsidR="00670789">
        <w:rPr>
          <w:rFonts w:ascii="GaramondPremrPro" w:hAnsi="GaramondPremrPro" w:cs="GaramondPremrPro"/>
          <w:szCs w:val="24"/>
        </w:rPr>
        <w:t>aplicación del Decr</w:t>
      </w:r>
      <w:r w:rsidR="00713981">
        <w:rPr>
          <w:rFonts w:ascii="GaramondPremrPro" w:hAnsi="GaramondPremrPro" w:cs="GaramondPremrPro"/>
          <w:szCs w:val="24"/>
        </w:rPr>
        <w:t xml:space="preserve">eto 016, que establece un </w:t>
      </w:r>
      <w:r w:rsidR="00670789">
        <w:rPr>
          <w:rFonts w:ascii="GaramondPremrPro" w:hAnsi="GaramondPremrPro" w:cs="GaramondPremrPro"/>
          <w:szCs w:val="24"/>
        </w:rPr>
        <w:t>control omnímodo del Estado sob</w:t>
      </w:r>
      <w:r w:rsidR="00713981">
        <w:rPr>
          <w:rFonts w:ascii="GaramondPremrPro" w:hAnsi="GaramondPremrPro" w:cs="GaramondPremrPro"/>
          <w:szCs w:val="24"/>
        </w:rPr>
        <w:t>re las organiza</w:t>
      </w:r>
      <w:r w:rsidR="00670789">
        <w:rPr>
          <w:rFonts w:ascii="GaramondPremrPro" w:hAnsi="GaramondPremrPro" w:cs="GaramondPremrPro"/>
          <w:szCs w:val="24"/>
        </w:rPr>
        <w:t>c</w:t>
      </w:r>
      <w:r w:rsidR="00713981">
        <w:rPr>
          <w:rFonts w:ascii="GaramondPremrPro" w:hAnsi="GaramondPremrPro" w:cs="GaramondPremrPro"/>
          <w:szCs w:val="24"/>
        </w:rPr>
        <w:t>iones sociales</w:t>
      </w:r>
      <w:r w:rsidR="00670789">
        <w:rPr>
          <w:rFonts w:ascii="GaramondPremrPro" w:hAnsi="GaramondPremrPro" w:cs="GaramondPremrPro"/>
          <w:szCs w:val="24"/>
        </w:rPr>
        <w:t>, ev</w:t>
      </w:r>
      <w:r w:rsidR="00713981">
        <w:rPr>
          <w:rFonts w:ascii="GaramondPremrPro" w:hAnsi="GaramondPremrPro" w:cs="GaramondPremrPro"/>
          <w:szCs w:val="24"/>
        </w:rPr>
        <w:t>idencia una</w:t>
      </w:r>
      <w:r w:rsidR="00670789">
        <w:rPr>
          <w:rFonts w:ascii="GaramondPremrPro" w:hAnsi="GaramondPremrPro" w:cs="GaramondPremrPro"/>
          <w:szCs w:val="24"/>
        </w:rPr>
        <w:t xml:space="preserve"> </w:t>
      </w:r>
      <w:r w:rsidR="00713981">
        <w:rPr>
          <w:rFonts w:ascii="GaramondPremrPro" w:hAnsi="GaramondPremrPro" w:cs="GaramondPremrPro"/>
          <w:szCs w:val="24"/>
        </w:rPr>
        <w:t>visión desde el régimen totalmente contrari</w:t>
      </w:r>
      <w:r w:rsidR="00670789">
        <w:rPr>
          <w:rFonts w:ascii="GaramondPremrPro" w:hAnsi="GaramondPremrPro" w:cs="GaramondPremrPro"/>
          <w:szCs w:val="24"/>
        </w:rPr>
        <w:t>a a la autonomía que debe caract</w:t>
      </w:r>
      <w:r w:rsidR="00713981">
        <w:rPr>
          <w:rFonts w:ascii="GaramondPremrPro" w:hAnsi="GaramondPremrPro" w:cs="GaramondPremrPro"/>
          <w:szCs w:val="24"/>
        </w:rPr>
        <w:t xml:space="preserve">erizar al funcionamiento de la sociedad civil. Las condiciones impuestas implican una </w:t>
      </w:r>
      <w:r w:rsidR="00670789">
        <w:rPr>
          <w:rFonts w:ascii="GaramondPremrPro" w:hAnsi="GaramondPremrPro" w:cs="GaramondPremrPro"/>
          <w:szCs w:val="24"/>
        </w:rPr>
        <w:t>subordinación</w:t>
      </w:r>
      <w:r w:rsidR="00713981">
        <w:rPr>
          <w:rFonts w:ascii="GaramondPremrPro" w:hAnsi="GaramondPremrPro" w:cs="GaramondPremrPro"/>
          <w:szCs w:val="24"/>
        </w:rPr>
        <w:t xml:space="preserve"> de estas organizaciones, tanto las de hecho como las de derecho, </w:t>
      </w:r>
      <w:r w:rsidR="00B72B83">
        <w:rPr>
          <w:rFonts w:ascii="GaramondPremrPro" w:hAnsi="GaramondPremrPro" w:cs="GaramondPremrPro"/>
          <w:szCs w:val="24"/>
        </w:rPr>
        <w:t>a la agenda gubernamental, so pena de ser sanci</w:t>
      </w:r>
      <w:r w:rsidR="00670789">
        <w:rPr>
          <w:rFonts w:ascii="GaramondPremrPro" w:hAnsi="GaramondPremrPro" w:cs="GaramondPremrPro"/>
          <w:szCs w:val="24"/>
        </w:rPr>
        <w:t>o</w:t>
      </w:r>
      <w:r w:rsidR="00B72B83">
        <w:rPr>
          <w:rFonts w:ascii="GaramondPremrPro" w:hAnsi="GaramondPremrPro" w:cs="GaramondPremrPro"/>
          <w:szCs w:val="24"/>
        </w:rPr>
        <w:t xml:space="preserve">nadas e incluso clausuradas, como ya ha sucedido. La medida es tan autoritaria que  ya provocó una reacción de desobediencia civil por parte de la </w:t>
      </w:r>
      <w:proofErr w:type="spellStart"/>
      <w:r w:rsidR="00B72B83">
        <w:rPr>
          <w:rFonts w:ascii="GaramondPremrPro" w:hAnsi="GaramondPremrPro" w:cs="GaramondPremrPro"/>
          <w:szCs w:val="24"/>
        </w:rPr>
        <w:t>Ecuarunari</w:t>
      </w:r>
      <w:proofErr w:type="spellEnd"/>
      <w:r w:rsidR="00B72B83">
        <w:rPr>
          <w:rFonts w:ascii="GaramondPremrPro" w:hAnsi="GaramondPremrPro" w:cs="GaramondPremrPro"/>
          <w:szCs w:val="24"/>
        </w:rPr>
        <w:t>, la organización indígena más importante del país.</w:t>
      </w:r>
    </w:p>
    <w:p w:rsidR="00B72B83" w:rsidRDefault="00B72B83"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785E4F">
        <w:rPr>
          <w:rFonts w:ascii="GaramondPremrPro" w:hAnsi="GaramondPremrPro" w:cs="GaramondPremrPro"/>
          <w:szCs w:val="24"/>
        </w:rPr>
        <w:t>Finalmente,</w:t>
      </w:r>
      <w:r w:rsidR="00670789">
        <w:rPr>
          <w:rFonts w:ascii="GaramondPremrPro" w:hAnsi="GaramondPremrPro" w:cs="GaramondPremrPro"/>
          <w:szCs w:val="24"/>
        </w:rPr>
        <w:t xml:space="preserve"> respecto del cambio de ma</w:t>
      </w:r>
      <w:r w:rsidR="00785E4F">
        <w:rPr>
          <w:rFonts w:ascii="GaramondPremrPro" w:hAnsi="GaramondPremrPro" w:cs="GaramondPremrPro"/>
          <w:szCs w:val="24"/>
        </w:rPr>
        <w:t>triz productiva también es necesario hacer alguna puntualización. Tanto la articulación de la economía a un modelo extractivista transnacional como la suscripción del TLC con la UE con</w:t>
      </w:r>
      <w:r w:rsidR="00670789">
        <w:rPr>
          <w:rFonts w:ascii="GaramondPremrPro" w:hAnsi="GaramondPremrPro" w:cs="GaramondPremrPro"/>
          <w:szCs w:val="24"/>
        </w:rPr>
        <w:t>f</w:t>
      </w:r>
      <w:r w:rsidR="00785E4F">
        <w:rPr>
          <w:rFonts w:ascii="GaramondPremrPro" w:hAnsi="GaramondPremrPro" w:cs="GaramondPremrPro"/>
          <w:szCs w:val="24"/>
        </w:rPr>
        <w:t>iguran un</w:t>
      </w:r>
      <w:r w:rsidR="00670789">
        <w:rPr>
          <w:rFonts w:ascii="GaramondPremrPro" w:hAnsi="GaramondPremrPro" w:cs="GaramondPremrPro"/>
          <w:szCs w:val="24"/>
        </w:rPr>
        <w:t xml:space="preserve"> </w:t>
      </w:r>
      <w:r w:rsidR="00785E4F">
        <w:rPr>
          <w:rFonts w:ascii="GaramondPremrPro" w:hAnsi="GaramondPremrPro" w:cs="GaramondPremrPro"/>
          <w:szCs w:val="24"/>
        </w:rPr>
        <w:t xml:space="preserve">escenario adverso para salir del modelo primario-exportador que nos ha </w:t>
      </w:r>
      <w:r w:rsidR="00670789">
        <w:rPr>
          <w:rFonts w:ascii="GaramondPremrPro" w:hAnsi="GaramondPremrPro" w:cs="GaramondPremrPro"/>
          <w:szCs w:val="24"/>
        </w:rPr>
        <w:t>caracterizado</w:t>
      </w:r>
      <w:r w:rsidR="00785E4F">
        <w:rPr>
          <w:rFonts w:ascii="GaramondPremrPro" w:hAnsi="GaramondPremrPro" w:cs="GaramondPremrPro"/>
          <w:szCs w:val="24"/>
        </w:rPr>
        <w:t>. Es más, es posible inclusive que la</w:t>
      </w:r>
      <w:r w:rsidR="00670789">
        <w:rPr>
          <w:rFonts w:ascii="GaramondPremrPro" w:hAnsi="GaramondPremrPro" w:cs="GaramondPremrPro"/>
          <w:szCs w:val="24"/>
        </w:rPr>
        <w:t xml:space="preserve"> </w:t>
      </w:r>
      <w:r w:rsidR="00785E4F">
        <w:rPr>
          <w:rFonts w:ascii="GaramondPremrPro" w:hAnsi="GaramondPremrPro" w:cs="GaramondPremrPro"/>
          <w:szCs w:val="24"/>
        </w:rPr>
        <w:t xml:space="preserve">economía ecuatoriana se </w:t>
      </w:r>
      <w:proofErr w:type="spellStart"/>
      <w:r w:rsidR="00785E4F">
        <w:rPr>
          <w:rFonts w:ascii="GaramondPremrPro" w:hAnsi="GaramondPremrPro" w:cs="GaramondPremrPro"/>
          <w:szCs w:val="24"/>
        </w:rPr>
        <w:t>reprimarice</w:t>
      </w:r>
      <w:proofErr w:type="spellEnd"/>
      <w:r w:rsidR="00785E4F">
        <w:rPr>
          <w:rFonts w:ascii="GaramondPremrPro" w:hAnsi="GaramondPremrPro" w:cs="GaramondPremrPro"/>
          <w:szCs w:val="24"/>
        </w:rPr>
        <w:t xml:space="preserve">, cediendo espacio en aquellos </w:t>
      </w:r>
      <w:r w:rsidR="00785E4F">
        <w:rPr>
          <w:rFonts w:ascii="GaramondPremrPro" w:hAnsi="GaramondPremrPro" w:cs="GaramondPremrPro"/>
          <w:szCs w:val="24"/>
        </w:rPr>
        <w:lastRenderedPageBreak/>
        <w:t>ámbitos donde se había logrado, aunque superficialment</w:t>
      </w:r>
      <w:r w:rsidR="00670789">
        <w:rPr>
          <w:rFonts w:ascii="GaramondPremrPro" w:hAnsi="GaramondPremrPro" w:cs="GaramondPremrPro"/>
          <w:szCs w:val="24"/>
        </w:rPr>
        <w:t>e, ci</w:t>
      </w:r>
      <w:r w:rsidR="00785E4F">
        <w:rPr>
          <w:rFonts w:ascii="GaramondPremrPro" w:hAnsi="GaramondPremrPro" w:cs="GaramondPremrPro"/>
          <w:szCs w:val="24"/>
        </w:rPr>
        <w:t xml:space="preserve">ertos proceso de </w:t>
      </w:r>
      <w:proofErr w:type="spellStart"/>
      <w:r w:rsidR="00785E4F">
        <w:rPr>
          <w:rFonts w:ascii="GaramondPremrPro" w:hAnsi="GaramondPremrPro" w:cs="GaramondPremrPro"/>
          <w:szCs w:val="24"/>
        </w:rPr>
        <w:t>secundarización</w:t>
      </w:r>
      <w:proofErr w:type="spellEnd"/>
      <w:r w:rsidR="00785E4F">
        <w:rPr>
          <w:rFonts w:ascii="GaramondPremrPro" w:hAnsi="GaramondPremrPro" w:cs="GaramondPremrPro"/>
          <w:szCs w:val="24"/>
        </w:rPr>
        <w:t xml:space="preserve">. Los contenidos del TLC son precisos: la apertura comercial significa una flexibilización de la circulación de productos, condición que inevitablemente </w:t>
      </w:r>
      <w:r w:rsidR="0096781D">
        <w:rPr>
          <w:rFonts w:ascii="GaramondPremrPro" w:hAnsi="GaramondPremrPro" w:cs="GaramondPremrPro"/>
          <w:szCs w:val="24"/>
        </w:rPr>
        <w:t>favor</w:t>
      </w:r>
      <w:r w:rsidR="00785E4F">
        <w:rPr>
          <w:rFonts w:ascii="GaramondPremrPro" w:hAnsi="GaramondPremrPro" w:cs="GaramondPremrPro"/>
          <w:szCs w:val="24"/>
        </w:rPr>
        <w:t xml:space="preserve">ece a la economía industrialmente más desarrollada (es decir a la economía europea). Estas </w:t>
      </w:r>
      <w:r w:rsidR="0096781D">
        <w:rPr>
          <w:rFonts w:ascii="GaramondPremrPro" w:hAnsi="GaramondPremrPro" w:cs="GaramondPremrPro"/>
          <w:szCs w:val="24"/>
        </w:rPr>
        <w:t>circunstancias</w:t>
      </w:r>
      <w:r w:rsidR="00785E4F">
        <w:rPr>
          <w:rFonts w:ascii="GaramondPremrPro" w:hAnsi="GaramondPremrPro" w:cs="GaramondPremrPro"/>
          <w:szCs w:val="24"/>
        </w:rPr>
        <w:t xml:space="preserve"> son incompatibles con las declaraciones en favor de una mayor generación de trabajo digno y bien remunerado,</w:t>
      </w:r>
      <w:r w:rsidR="0096781D">
        <w:rPr>
          <w:rFonts w:ascii="GaramondPremrPro" w:hAnsi="GaramondPremrPro" w:cs="GaramondPremrPro"/>
          <w:szCs w:val="24"/>
        </w:rPr>
        <w:t xml:space="preserve"> </w:t>
      </w:r>
      <w:r w:rsidR="00785E4F">
        <w:rPr>
          <w:rFonts w:ascii="GaramondPremrPro" w:hAnsi="GaramondPremrPro" w:cs="GaramondPremrPro"/>
          <w:szCs w:val="24"/>
        </w:rPr>
        <w:t>puesto que se pone límites estructurales a las posibilidades de incursionar en actividad</w:t>
      </w:r>
      <w:r w:rsidR="0096781D">
        <w:rPr>
          <w:rFonts w:ascii="GaramondPremrPro" w:hAnsi="GaramondPremrPro" w:cs="GaramondPremrPro"/>
          <w:szCs w:val="24"/>
        </w:rPr>
        <w:t>e</w:t>
      </w:r>
      <w:r w:rsidR="00785E4F">
        <w:rPr>
          <w:rFonts w:ascii="GaramondPremrPro" w:hAnsi="GaramondPremrPro" w:cs="GaramondPremrPro"/>
          <w:szCs w:val="24"/>
        </w:rPr>
        <w:t>s productivas que generen valor agregado…</w:t>
      </w:r>
      <w:r w:rsidR="0096781D">
        <w:rPr>
          <w:rFonts w:ascii="GaramondPremrPro" w:hAnsi="GaramondPremrPro" w:cs="GaramondPremrPro"/>
          <w:szCs w:val="24"/>
        </w:rPr>
        <w:t xml:space="preserve"> exceptu</w:t>
      </w:r>
      <w:r w:rsidR="00785E4F">
        <w:rPr>
          <w:rFonts w:ascii="GaramondPremrPro" w:hAnsi="GaramondPremrPro" w:cs="GaramondPremrPro"/>
          <w:szCs w:val="24"/>
        </w:rPr>
        <w:t>ando aquellas líneas en la que existe una clara orientación de enclave o de maquila (verbi gratia la nanotecnología, la biotecnología o la farmacé</w:t>
      </w:r>
      <w:r w:rsidR="0096781D">
        <w:rPr>
          <w:rFonts w:ascii="GaramondPremrPro" w:hAnsi="GaramondPremrPro" w:cs="GaramondPremrPro"/>
          <w:szCs w:val="24"/>
        </w:rPr>
        <w:t>u</w:t>
      </w:r>
      <w:r w:rsidR="00785E4F">
        <w:rPr>
          <w:rFonts w:ascii="GaramondPremrPro" w:hAnsi="GaramondPremrPro" w:cs="GaramondPremrPro"/>
          <w:szCs w:val="24"/>
        </w:rPr>
        <w:t xml:space="preserve">tica). Pero estas líneas de producción son tan sofisticadas que se convierten </w:t>
      </w:r>
      <w:r w:rsidR="0001568B">
        <w:rPr>
          <w:rFonts w:ascii="GaramondPremrPro" w:hAnsi="GaramondPremrPro" w:cs="GaramondPremrPro"/>
          <w:szCs w:val="24"/>
        </w:rPr>
        <w:t>en una suerte de torre de crist</w:t>
      </w:r>
      <w:r w:rsidR="0096781D">
        <w:rPr>
          <w:rFonts w:ascii="GaramondPremrPro" w:hAnsi="GaramondPremrPro" w:cs="GaramondPremrPro"/>
          <w:szCs w:val="24"/>
        </w:rPr>
        <w:t>al para las nuevas élites tec</w:t>
      </w:r>
      <w:r w:rsidR="00785E4F">
        <w:rPr>
          <w:rFonts w:ascii="GaramondPremrPro" w:hAnsi="GaramondPremrPro" w:cs="GaramondPremrPro"/>
          <w:szCs w:val="24"/>
        </w:rPr>
        <w:t xml:space="preserve">nocráticas y </w:t>
      </w:r>
      <w:proofErr w:type="spellStart"/>
      <w:r w:rsidR="00785E4F">
        <w:rPr>
          <w:rFonts w:ascii="GaramondPremrPro" w:hAnsi="GaramondPremrPro" w:cs="GaramondPremrPro"/>
          <w:szCs w:val="24"/>
        </w:rPr>
        <w:t>pseudo</w:t>
      </w:r>
      <w:proofErr w:type="spellEnd"/>
      <w:r w:rsidR="00785E4F">
        <w:rPr>
          <w:rFonts w:ascii="GaramondPremrPro" w:hAnsi="GaramondPremrPro" w:cs="GaramondPremrPro"/>
          <w:szCs w:val="24"/>
        </w:rPr>
        <w:t xml:space="preserve">-científicas. </w:t>
      </w:r>
    </w:p>
    <w:p w:rsidR="00D32507" w:rsidRDefault="00D32507"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t xml:space="preserve">En medio de esta complejidad, el tema que más preocupación suscita (y que está recogido a lo largo del documento de la CEPAL) se refiere a los graves límites a la participación ciudadana. </w:t>
      </w:r>
      <w:r w:rsidR="00380722">
        <w:rPr>
          <w:rFonts w:ascii="GaramondPremrPro" w:hAnsi="GaramondPremrPro" w:cs="GaramondPremrPro"/>
          <w:szCs w:val="24"/>
        </w:rPr>
        <w:t xml:space="preserve">Las deficiencias de coordinación y complementariedad con la sociedad civil, con otros niveles de gobierno como los gobiernos autónomos </w:t>
      </w:r>
      <w:r w:rsidR="00670789">
        <w:rPr>
          <w:rFonts w:ascii="GaramondPremrPro" w:hAnsi="GaramondPremrPro" w:cs="GaramondPremrPro"/>
          <w:szCs w:val="24"/>
        </w:rPr>
        <w:t>descentralizados</w:t>
      </w:r>
      <w:r w:rsidR="00380722">
        <w:rPr>
          <w:rFonts w:ascii="GaramondPremrPro" w:hAnsi="GaramondPremrPro" w:cs="GaramondPremrPro"/>
          <w:szCs w:val="24"/>
        </w:rPr>
        <w:t xml:space="preserve"> (GAD), con actores corporativos públicos y privados, y hasta con las demás instancias estatales que no perteneces al Ejecutivo constituyen un</w:t>
      </w:r>
      <w:r w:rsidR="00670789">
        <w:rPr>
          <w:rFonts w:ascii="GaramondPremrPro" w:hAnsi="GaramondPremrPro" w:cs="GaramondPremrPro"/>
          <w:szCs w:val="24"/>
        </w:rPr>
        <w:t>a de las principales trabas par</w:t>
      </w:r>
      <w:r w:rsidR="00380722">
        <w:rPr>
          <w:rFonts w:ascii="GaramondPremrPro" w:hAnsi="GaramondPremrPro" w:cs="GaramondPremrPro"/>
          <w:szCs w:val="24"/>
        </w:rPr>
        <w:t>a desarrollar una política de protección social viable y sostenible. La negativa sistemática del gobierno al diálogo y a los consensos con otros  actores no solo que imposibilita definir una propuesta adecuada a las condiciones políticas, sociales y culturales del país, si</w:t>
      </w:r>
      <w:r w:rsidR="00670789">
        <w:rPr>
          <w:rFonts w:ascii="GaramondPremrPro" w:hAnsi="GaramondPremrPro" w:cs="GaramondPremrPro"/>
          <w:szCs w:val="24"/>
        </w:rPr>
        <w:t>n</w:t>
      </w:r>
      <w:r w:rsidR="00380722">
        <w:rPr>
          <w:rFonts w:ascii="GaramondPremrPro" w:hAnsi="GaramondPremrPro" w:cs="GaramondPremrPro"/>
          <w:szCs w:val="24"/>
        </w:rPr>
        <w:t>o  que puede</w:t>
      </w:r>
      <w:r w:rsidR="00670789">
        <w:rPr>
          <w:rFonts w:ascii="GaramondPremrPro" w:hAnsi="GaramondPremrPro" w:cs="GaramondPremrPro"/>
          <w:szCs w:val="24"/>
        </w:rPr>
        <w:t xml:space="preserve"> </w:t>
      </w:r>
      <w:r w:rsidR="00380722">
        <w:rPr>
          <w:rFonts w:ascii="GaramondPremrPro" w:hAnsi="GaramondPremrPro" w:cs="GaramondPremrPro"/>
          <w:szCs w:val="24"/>
        </w:rPr>
        <w:t>provocar una reac</w:t>
      </w:r>
      <w:r w:rsidR="00670789">
        <w:rPr>
          <w:rFonts w:ascii="GaramondPremrPro" w:hAnsi="GaramondPremrPro" w:cs="GaramondPremrPro"/>
          <w:szCs w:val="24"/>
        </w:rPr>
        <w:t>c</w:t>
      </w:r>
      <w:r w:rsidR="00380722">
        <w:rPr>
          <w:rFonts w:ascii="GaramondPremrPro" w:hAnsi="GaramondPremrPro" w:cs="GaramondPremrPro"/>
          <w:szCs w:val="24"/>
        </w:rPr>
        <w:t>ión adversa y conflictiva en  muchos sectores.</w:t>
      </w:r>
    </w:p>
    <w:p w:rsidR="00380722" w:rsidRDefault="00380722"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t xml:space="preserve">Es </w:t>
      </w:r>
      <w:r w:rsidR="00670789">
        <w:rPr>
          <w:rFonts w:ascii="GaramondPremrPro" w:hAnsi="GaramondPremrPro" w:cs="GaramondPremrPro"/>
          <w:szCs w:val="24"/>
        </w:rPr>
        <w:t>eso, precisamente, lo que  es</w:t>
      </w:r>
      <w:r>
        <w:rPr>
          <w:rFonts w:ascii="GaramondPremrPro" w:hAnsi="GaramondPremrPro" w:cs="GaramondPremrPro"/>
          <w:szCs w:val="24"/>
        </w:rPr>
        <w:t>tá sucediendo como consecuencia de la ausencia de diálogo a propósito de los temas territoriales, de la plurinacionalidad o del desarrollo rural com</w:t>
      </w:r>
      <w:r w:rsidR="00670789">
        <w:rPr>
          <w:rFonts w:ascii="GaramondPremrPro" w:hAnsi="GaramondPremrPro" w:cs="GaramondPremrPro"/>
          <w:szCs w:val="24"/>
        </w:rPr>
        <w:t>o</w:t>
      </w:r>
      <w:r>
        <w:rPr>
          <w:rFonts w:ascii="GaramondPremrPro" w:hAnsi="GaramondPremrPro" w:cs="GaramondPremrPro"/>
          <w:szCs w:val="24"/>
        </w:rPr>
        <w:t xml:space="preserve"> </w:t>
      </w:r>
      <w:r w:rsidR="00670789">
        <w:rPr>
          <w:rFonts w:ascii="GaramondPremrPro" w:hAnsi="GaramondPremrPro" w:cs="GaramondPremrPro"/>
          <w:szCs w:val="24"/>
        </w:rPr>
        <w:t>ingredientes</w:t>
      </w:r>
      <w:r>
        <w:rPr>
          <w:rFonts w:ascii="GaramondPremrPro" w:hAnsi="GaramondPremrPro" w:cs="GaramondPremrPro"/>
          <w:szCs w:val="24"/>
        </w:rPr>
        <w:t xml:space="preserve"> de la política de protección social. </w:t>
      </w:r>
      <w:r w:rsidR="00AC1C74">
        <w:rPr>
          <w:rFonts w:ascii="GaramondPremrPro" w:hAnsi="GaramondPremrPro" w:cs="GaramondPremrPro"/>
          <w:szCs w:val="24"/>
        </w:rPr>
        <w:t>Varios gobiernos autónomos y organizaciones indígenas y campesinas han exp</w:t>
      </w:r>
      <w:r w:rsidR="00670789">
        <w:rPr>
          <w:rFonts w:ascii="GaramondPremrPro" w:hAnsi="GaramondPremrPro" w:cs="GaramondPremrPro"/>
          <w:szCs w:val="24"/>
        </w:rPr>
        <w:t>resad</w:t>
      </w:r>
      <w:r w:rsidR="00AC1C74">
        <w:rPr>
          <w:rFonts w:ascii="GaramondPremrPro" w:hAnsi="GaramondPremrPro" w:cs="GaramondPremrPro"/>
          <w:szCs w:val="24"/>
        </w:rPr>
        <w:t>o su desacuerdo con las iniciativas del</w:t>
      </w:r>
      <w:r w:rsidR="00670789">
        <w:rPr>
          <w:rFonts w:ascii="GaramondPremrPro" w:hAnsi="GaramondPremrPro" w:cs="GaramondPremrPro"/>
          <w:szCs w:val="24"/>
        </w:rPr>
        <w:t xml:space="preserve"> </w:t>
      </w:r>
      <w:r w:rsidR="00AC1C74">
        <w:rPr>
          <w:rFonts w:ascii="GaramondPremrPro" w:hAnsi="GaramondPremrPro" w:cs="GaramondPremrPro"/>
          <w:szCs w:val="24"/>
        </w:rPr>
        <w:t>gobierno,</w:t>
      </w:r>
      <w:r w:rsidR="00670789">
        <w:rPr>
          <w:rFonts w:ascii="GaramondPremrPro" w:hAnsi="GaramondPremrPro" w:cs="GaramondPremrPro"/>
          <w:szCs w:val="24"/>
        </w:rPr>
        <w:t xml:space="preserve"> </w:t>
      </w:r>
      <w:r w:rsidR="00AC1C74">
        <w:rPr>
          <w:rFonts w:ascii="GaramondPremrPro" w:hAnsi="GaramondPremrPro" w:cs="GaramondPremrPro"/>
          <w:szCs w:val="24"/>
        </w:rPr>
        <w:t xml:space="preserve">sobre todo cuando buscan imponer proyectos </w:t>
      </w:r>
      <w:r w:rsidR="00866C63">
        <w:rPr>
          <w:rFonts w:ascii="GaramondPremrPro" w:hAnsi="GaramondPremrPro" w:cs="GaramondPremrPro"/>
          <w:szCs w:val="24"/>
        </w:rPr>
        <w:t>de extracción minera o petrolera por encima de los derechos constituci</w:t>
      </w:r>
      <w:r w:rsidR="00670789">
        <w:rPr>
          <w:rFonts w:ascii="GaramondPremrPro" w:hAnsi="GaramondPremrPro" w:cs="GaramondPremrPro"/>
          <w:szCs w:val="24"/>
        </w:rPr>
        <w:t>o</w:t>
      </w:r>
      <w:r w:rsidR="00866C63">
        <w:rPr>
          <w:rFonts w:ascii="GaramondPremrPro" w:hAnsi="GaramondPremrPro" w:cs="GaramondPremrPro"/>
          <w:szCs w:val="24"/>
        </w:rPr>
        <w:t xml:space="preserve">nales de pueblos, nacionalidades, comunidades, municipios o provincias. Plantearse una política de </w:t>
      </w:r>
      <w:r w:rsidR="00BC03CF">
        <w:rPr>
          <w:rFonts w:ascii="GaramondPremrPro" w:hAnsi="GaramondPremrPro" w:cs="GaramondPremrPro"/>
          <w:szCs w:val="24"/>
        </w:rPr>
        <w:t xml:space="preserve">protección </w:t>
      </w:r>
      <w:r w:rsidR="00866C63">
        <w:rPr>
          <w:rFonts w:ascii="GaramondPremrPro" w:hAnsi="GaramondPremrPro" w:cs="GaramondPremrPro"/>
          <w:szCs w:val="24"/>
        </w:rPr>
        <w:t>social en</w:t>
      </w:r>
      <w:r w:rsidR="00BC03CF">
        <w:rPr>
          <w:rFonts w:ascii="GaramondPremrPro" w:hAnsi="GaramondPremrPro" w:cs="GaramondPremrPro"/>
          <w:szCs w:val="24"/>
        </w:rPr>
        <w:t xml:space="preserve"> </w:t>
      </w:r>
      <w:r w:rsidR="00866C63">
        <w:rPr>
          <w:rFonts w:ascii="GaramondPremrPro" w:hAnsi="GaramondPremrPro" w:cs="GaramondPremrPro"/>
          <w:szCs w:val="24"/>
        </w:rPr>
        <w:t xml:space="preserve">la cual temas como la salud, el hábitat, la educación, la vivienda, la generación de empleo o las nuevas  modalidades productivas están en el centro de las decisiones, pero sin lograr acuerdos en los espacios locales, resulta </w:t>
      </w:r>
      <w:r w:rsidR="00BC03CF">
        <w:rPr>
          <w:rFonts w:ascii="GaramondPremrPro" w:hAnsi="GaramondPremrPro" w:cs="GaramondPremrPro"/>
          <w:szCs w:val="24"/>
        </w:rPr>
        <w:t>un despropósito. Mucho más si al final se impone la agenda del gobie</w:t>
      </w:r>
      <w:r w:rsidR="00944A63">
        <w:rPr>
          <w:rFonts w:ascii="GaramondPremrPro" w:hAnsi="GaramondPremrPro" w:cs="GaramondPremrPro"/>
          <w:szCs w:val="24"/>
        </w:rPr>
        <w:t>rno nacional en función de obje</w:t>
      </w:r>
      <w:r w:rsidR="00BC03CF">
        <w:rPr>
          <w:rFonts w:ascii="GaramondPremrPro" w:hAnsi="GaramondPremrPro" w:cs="GaramondPremrPro"/>
          <w:szCs w:val="24"/>
        </w:rPr>
        <w:t>tivos diseñados desde la centralidad del poder.</w:t>
      </w:r>
    </w:p>
    <w:p w:rsidR="00BC03CF" w:rsidRDefault="00BC03CF"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t xml:space="preserve">En </w:t>
      </w:r>
      <w:r w:rsidR="00944A63">
        <w:rPr>
          <w:rFonts w:ascii="GaramondPremrPro" w:hAnsi="GaramondPremrPro" w:cs="GaramondPremrPro"/>
          <w:szCs w:val="24"/>
        </w:rPr>
        <w:t>el caso particular</w:t>
      </w:r>
      <w:r>
        <w:rPr>
          <w:rFonts w:ascii="GaramondPremrPro" w:hAnsi="GaramondPremrPro" w:cs="GaramondPremrPro"/>
          <w:szCs w:val="24"/>
        </w:rPr>
        <w:t xml:space="preserve"> de las contradicciones y desacuerdos con indígenas y campesinos, la postergación </w:t>
      </w:r>
      <w:r w:rsidR="00944A63">
        <w:rPr>
          <w:rFonts w:ascii="GaramondPremrPro" w:hAnsi="GaramondPremrPro" w:cs="GaramondPremrPro"/>
          <w:szCs w:val="24"/>
        </w:rPr>
        <w:t>indefinida</w:t>
      </w:r>
      <w:r>
        <w:rPr>
          <w:rFonts w:ascii="GaramondPremrPro" w:hAnsi="GaramondPremrPro" w:cs="GaramondPremrPro"/>
          <w:szCs w:val="24"/>
        </w:rPr>
        <w:t xml:space="preserve"> de la denominada “revolución agraria” ha sido  la piedra de t</w:t>
      </w:r>
      <w:r w:rsidR="00944A63">
        <w:rPr>
          <w:rFonts w:ascii="GaramondPremrPro" w:hAnsi="GaramondPremrPro" w:cs="GaramondPremrPro"/>
          <w:szCs w:val="24"/>
        </w:rPr>
        <w:t>oque con el gobierno, puesto qu</w:t>
      </w:r>
      <w:r>
        <w:rPr>
          <w:rFonts w:ascii="GaramondPremrPro" w:hAnsi="GaramondPremrPro" w:cs="GaramondPremrPro"/>
          <w:szCs w:val="24"/>
        </w:rPr>
        <w:t xml:space="preserve">e las condiciones de estos sectores históricamente marginados no han experimentado ningún </w:t>
      </w:r>
      <w:r w:rsidR="00944A63">
        <w:rPr>
          <w:rFonts w:ascii="GaramondPremrPro" w:hAnsi="GaramondPremrPro" w:cs="GaramondPremrPro"/>
          <w:szCs w:val="24"/>
        </w:rPr>
        <w:t>cambio sust</w:t>
      </w:r>
      <w:r>
        <w:rPr>
          <w:rFonts w:ascii="GaramondPremrPro" w:hAnsi="GaramondPremrPro" w:cs="GaramondPremrPro"/>
          <w:szCs w:val="24"/>
        </w:rPr>
        <w:t xml:space="preserve">ancial, y en </w:t>
      </w:r>
      <w:r w:rsidR="00944A63">
        <w:rPr>
          <w:rFonts w:ascii="GaramondPremrPro" w:hAnsi="GaramondPremrPro" w:cs="GaramondPremrPro"/>
          <w:szCs w:val="24"/>
        </w:rPr>
        <w:t>a</w:t>
      </w:r>
      <w:r>
        <w:rPr>
          <w:rFonts w:ascii="GaramondPremrPro" w:hAnsi="GaramondPremrPro" w:cs="GaramondPremrPro"/>
          <w:szCs w:val="24"/>
        </w:rPr>
        <w:t>lgunos casos han empeorado. El  cambio de la matriz productiva,  que podría tener un sentido estratégico si involucrara al sector agrario, se ha concentrado en nichos articulados a la economía global antes que en la</w:t>
      </w:r>
      <w:r w:rsidR="00DF16BA">
        <w:rPr>
          <w:rFonts w:ascii="GaramondPremrPro" w:hAnsi="GaramondPremrPro" w:cs="GaramondPremrPro"/>
          <w:szCs w:val="24"/>
        </w:rPr>
        <w:t>s</w:t>
      </w:r>
      <w:r>
        <w:rPr>
          <w:rFonts w:ascii="GaramondPremrPro" w:hAnsi="GaramondPremrPro" w:cs="GaramondPremrPro"/>
          <w:szCs w:val="24"/>
        </w:rPr>
        <w:t xml:space="preserve"> necesidades internas. La firma del TLC provocará el  colapso</w:t>
      </w:r>
      <w:r w:rsidR="00944A63">
        <w:rPr>
          <w:rFonts w:ascii="GaramondPremrPro" w:hAnsi="GaramondPremrPro" w:cs="GaramondPremrPro"/>
          <w:szCs w:val="24"/>
        </w:rPr>
        <w:t xml:space="preserve"> de una buena parte de la pequ</w:t>
      </w:r>
      <w:r>
        <w:rPr>
          <w:rFonts w:ascii="GaramondPremrPro" w:hAnsi="GaramondPremrPro" w:cs="GaramondPremrPro"/>
          <w:szCs w:val="24"/>
        </w:rPr>
        <w:t>eña y mediana agricultura en favor de la agroindustria y del monocultivo de exportación, como ya ha ocurrido en otros países de América Latina</w:t>
      </w:r>
      <w:r>
        <w:rPr>
          <w:rStyle w:val="Refdenotaalpie"/>
          <w:rFonts w:ascii="GaramondPremrPro" w:hAnsi="GaramondPremrPro" w:cs="GaramondPremrPro"/>
          <w:szCs w:val="24"/>
        </w:rPr>
        <w:footnoteReference w:id="13"/>
      </w:r>
      <w:r>
        <w:rPr>
          <w:rFonts w:ascii="GaramondPremrPro" w:hAnsi="GaramondPremrPro" w:cs="GaramondPremrPro"/>
          <w:szCs w:val="24"/>
        </w:rPr>
        <w:t>.</w:t>
      </w:r>
    </w:p>
    <w:p w:rsidR="00CE194F" w:rsidRDefault="00CE194F" w:rsidP="001E25E5">
      <w:pPr>
        <w:autoSpaceDE w:val="0"/>
        <w:autoSpaceDN w:val="0"/>
        <w:adjustRightInd w:val="0"/>
        <w:rPr>
          <w:rFonts w:ascii="GaramondPremrPro" w:hAnsi="GaramondPremrPro" w:cs="GaramondPremrPro"/>
          <w:szCs w:val="24"/>
        </w:rPr>
      </w:pPr>
    </w:p>
    <w:p w:rsidR="00CE194F" w:rsidRPr="007315FC" w:rsidRDefault="00CE194F" w:rsidP="001E25E5">
      <w:pPr>
        <w:autoSpaceDE w:val="0"/>
        <w:autoSpaceDN w:val="0"/>
        <w:adjustRightInd w:val="0"/>
        <w:rPr>
          <w:rFonts w:ascii="GaramondPremrPro" w:hAnsi="GaramondPremrPro" w:cs="GaramondPremrPro"/>
          <w:szCs w:val="24"/>
        </w:rPr>
      </w:pPr>
      <w:r w:rsidRPr="007315FC">
        <w:rPr>
          <w:rFonts w:ascii="GaramondPremrPro" w:hAnsi="GaramondPremrPro" w:cs="GaramondPremrPro"/>
          <w:i/>
          <w:szCs w:val="24"/>
        </w:rPr>
        <w:t>La seguridad social</w:t>
      </w:r>
      <w:r w:rsidR="007315FC">
        <w:rPr>
          <w:rFonts w:ascii="GaramondPremrPro" w:hAnsi="GaramondPremrPro" w:cs="GaramondPremrPro"/>
          <w:szCs w:val="24"/>
        </w:rPr>
        <w:t>.</w:t>
      </w:r>
    </w:p>
    <w:p w:rsidR="00CE194F" w:rsidRDefault="00CE194F" w:rsidP="001E25E5">
      <w:pPr>
        <w:autoSpaceDE w:val="0"/>
        <w:autoSpaceDN w:val="0"/>
        <w:adjustRightInd w:val="0"/>
        <w:rPr>
          <w:rFonts w:ascii="GaramondPremrPro" w:hAnsi="GaramondPremrPro" w:cs="GaramondPremrPro"/>
          <w:szCs w:val="24"/>
        </w:rPr>
      </w:pPr>
    </w:p>
    <w:p w:rsidR="00CE194F" w:rsidRDefault="00184DDE"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lastRenderedPageBreak/>
        <w:tab/>
        <w:t>La ampliación de la cobertura de la seguridad social a través del Instituto Ecuatoriano de Seguridad Social (IESS) requiere de un análisis puntual por  la importancia que tiene dentro de una política más amplia de protección social. El notable incremento de la PEA afiliada a la seguridad social, que subió de 25% en 2006 a 41.4% en 2012</w:t>
      </w:r>
      <w:r>
        <w:rPr>
          <w:rStyle w:val="Refdenotaalpie"/>
          <w:rFonts w:ascii="GaramondPremrPro" w:hAnsi="GaramondPremrPro" w:cs="GaramondPremrPro"/>
          <w:szCs w:val="24"/>
        </w:rPr>
        <w:footnoteReference w:id="14"/>
      </w:r>
      <w:r>
        <w:rPr>
          <w:rFonts w:ascii="GaramondPremrPro" w:hAnsi="GaramondPremrPro" w:cs="GaramondPremrPro"/>
          <w:szCs w:val="24"/>
        </w:rPr>
        <w:t>, tiene sus bemoles tanto en la incapacidad institucional para responder a la nueva demanda (sobre todo de servicios de salud) como en el déficit actuarial del IESS.</w:t>
      </w:r>
      <w:r w:rsidR="00091027">
        <w:rPr>
          <w:rFonts w:ascii="GaramondPremrPro" w:hAnsi="GaramondPremrPro" w:cs="GaramondPremrPro"/>
          <w:szCs w:val="24"/>
        </w:rPr>
        <w:t xml:space="preserve"> En el primer caso, la principal institución de seguridad social del país se ha visto obligada a subcontratar servicios privados para responder a la desbordante demanda; en el segundo caso, existe un estudio –cuestionado acremente por las autoridades– que alerta sobre su colapso en 2020 para protección de salud, y en 2050 para pensiones si no se aplican correctivos.</w:t>
      </w:r>
      <w:r w:rsidR="00E7497B">
        <w:rPr>
          <w:rFonts w:ascii="GaramondPremrPro" w:hAnsi="GaramondPremrPro" w:cs="GaramondPremrPro"/>
          <w:szCs w:val="24"/>
        </w:rPr>
        <w:t xml:space="preserve"> Por otro lado, las políticas en favor de las nuevas afiliaciones siguen excluyendo a la mayor parte de la población: trabajadores informales e independientes y sus familiares, adultos mayores</w:t>
      </w:r>
      <w:r w:rsidR="00A966F9">
        <w:rPr>
          <w:rFonts w:ascii="GaramondPremrPro" w:hAnsi="GaramondPremrPro" w:cs="GaramondPremrPro"/>
          <w:szCs w:val="24"/>
        </w:rPr>
        <w:t>, población rural. De acuerdo con el documento de la CEPAL</w:t>
      </w:r>
      <w:r w:rsidR="00A966F9">
        <w:rPr>
          <w:rStyle w:val="Refdenotaalpie"/>
          <w:rFonts w:ascii="GaramondPremrPro" w:hAnsi="GaramondPremrPro" w:cs="GaramondPremrPro"/>
          <w:szCs w:val="24"/>
        </w:rPr>
        <w:footnoteReference w:id="15"/>
      </w:r>
      <w:r w:rsidR="00A966F9">
        <w:rPr>
          <w:rFonts w:ascii="GaramondPremrPro" w:hAnsi="GaramondPremrPro" w:cs="GaramondPremrPro"/>
          <w:szCs w:val="24"/>
        </w:rPr>
        <w:t>, el principal problema es que tanto las políticas como la propuesta de Ley de Seguridad Social siguen siendo discutidas a puerta cerrada.</w:t>
      </w:r>
    </w:p>
    <w:p w:rsidR="00A966F9" w:rsidRDefault="00A966F9"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A275B4">
        <w:rPr>
          <w:rFonts w:ascii="GaramondPremrPro" w:hAnsi="GaramondPremrPro" w:cs="GaramondPremrPro"/>
          <w:szCs w:val="24"/>
        </w:rPr>
        <w:t>Estas limitaciones explican por qué se sigue manteniendo el programa del BDH, destinado a la población que permanece al margen de los beneficios contributivos y no  contributivos de la seguridad social. En el año 2012, el presupuesto destinado a este programa representó el 67% del gasto en programas sociales. Es decir, la política de protección social del gobierno de Correa continúa atada al viejo paradigma clientelar y paternalista heredado del neoliberalismo. Una política de protección social basada en las recomendaciones de la CEPAL (no necesariamente alternativa) implicaría al menos un remplazo del BDH por trabajo remunerado, con lo cual sí se lograría provocar efectos socioeconómicos, culturales y hasta sicológicos favorables en la población más pobre.</w:t>
      </w:r>
    </w:p>
    <w:p w:rsidR="00A275B4" w:rsidRDefault="00A275B4"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r>
      <w:r w:rsidR="0082329A">
        <w:rPr>
          <w:rFonts w:ascii="GaramondPremrPro" w:hAnsi="GaramondPremrPro" w:cs="GaramondPremrPro"/>
          <w:szCs w:val="24"/>
        </w:rPr>
        <w:t xml:space="preserve">La tramitación de la Ley de Seguridad Social sigue siendo el principal nudo en este proceso, sobre todo  porque no existe un acuerdo al interior del propio régimen. A pesar que en el último año y medio se han aprobado algunas reformas superficiales a la seguridad social (flexibilización de medidas para la afiliación voluntaria, ampliación de la cobertura para los hijos de los afiliados, incremento de los aporte para cubrir prestaciones a las personas con discapacidad), el problema central es la falta de consensos alrededor de dicha ley. Hasta ahora </w:t>
      </w:r>
      <w:r w:rsidR="00706E62">
        <w:rPr>
          <w:rFonts w:ascii="GaramondPremrPro" w:hAnsi="GaramondPremrPro" w:cs="GaramondPremrPro"/>
          <w:szCs w:val="24"/>
        </w:rPr>
        <w:t xml:space="preserve">ni siquiera se conoce un borrador de la misma, que pueda ser analizado y debatido públicamente a fin de incorporar los aportes de los actores de la sociedad civil. Como lo reconoce el documento de la CEPAL, la tónica de la participación ha sido restringida a aquellos sectores afines o subordinados al oficialismo, donde los principales actores de la salud brillan por su ausencia. </w:t>
      </w:r>
      <w:r w:rsidR="00D429F9">
        <w:rPr>
          <w:rFonts w:ascii="GaramondPremrPro" w:hAnsi="GaramondPremrPro" w:cs="GaramondPremrPro"/>
          <w:szCs w:val="24"/>
        </w:rPr>
        <w:t>Además de las cámaras de la producción, las que también han  cuestionado el carácter meramente informativo y consultivo de las convocatorias, prácticamente no consta ninguna organización representativa de la sociedad civil en los distintos eventos de discusión organizados por el gobierno</w:t>
      </w:r>
      <w:r w:rsidR="006465B6">
        <w:rPr>
          <w:rStyle w:val="Refdenotaalpie"/>
          <w:rFonts w:ascii="GaramondPremrPro" w:hAnsi="GaramondPremrPro" w:cs="GaramondPremrPro"/>
          <w:szCs w:val="24"/>
        </w:rPr>
        <w:footnoteReference w:id="16"/>
      </w:r>
      <w:r w:rsidR="00FF1055">
        <w:rPr>
          <w:rFonts w:ascii="GaramondPremrPro" w:hAnsi="GaramondPremrPro" w:cs="GaramondPremrPro"/>
          <w:szCs w:val="24"/>
        </w:rPr>
        <w:t>. En síntesis, la Ley de Seguridad Social se halla en una encrucijada, a consecuencia del conflicto de intereses y visiones que hay detrás de muchos actores políticos involucrados en su discusión, sobre todo por la disputa entre el IESS y el MSP a propósito de la unificación y rectoría del sistema.</w:t>
      </w:r>
    </w:p>
    <w:p w:rsidR="00CA62D4" w:rsidRDefault="00CA62D4" w:rsidP="001E25E5">
      <w:pPr>
        <w:autoSpaceDE w:val="0"/>
        <w:autoSpaceDN w:val="0"/>
        <w:adjustRightInd w:val="0"/>
        <w:rPr>
          <w:rFonts w:ascii="GaramondPremrPro" w:hAnsi="GaramondPremrPro" w:cs="GaramondPremrPro"/>
          <w:szCs w:val="24"/>
        </w:rPr>
      </w:pPr>
      <w:r>
        <w:rPr>
          <w:rFonts w:ascii="GaramondPremrPro" w:hAnsi="GaramondPremrPro" w:cs="GaramondPremrPro"/>
          <w:szCs w:val="24"/>
        </w:rPr>
        <w:tab/>
        <w:t>En el terreno más puntual de la salud también se detectan algunos problemas. Los cuatro retos propuestos para el MSP (ir de lo curativo a lo preventivo, fortalecer la APS, eliminar la fragmentación del sistema y aumentar la cobertura)</w:t>
      </w:r>
      <w:r w:rsidR="00701B00">
        <w:rPr>
          <w:rFonts w:ascii="GaramondPremrPro" w:hAnsi="GaramondPremrPro" w:cs="GaramondPremrPro"/>
          <w:szCs w:val="24"/>
        </w:rPr>
        <w:t xml:space="preserve"> no han sido superados.</w:t>
      </w:r>
      <w:r w:rsidR="000D5A21">
        <w:rPr>
          <w:rFonts w:ascii="GaramondPremrPro" w:hAnsi="GaramondPremrPro" w:cs="GaramondPremrPro"/>
          <w:szCs w:val="24"/>
        </w:rPr>
        <w:t xml:space="preserve"> Los cambios de ministros han implicado, como es usual en la política nacional, virajes </w:t>
      </w:r>
      <w:r w:rsidR="000D5A21">
        <w:rPr>
          <w:rFonts w:ascii="GaramondPremrPro" w:hAnsi="GaramondPremrPro" w:cs="GaramondPremrPro"/>
          <w:szCs w:val="24"/>
        </w:rPr>
        <w:lastRenderedPageBreak/>
        <w:t xml:space="preserve">severos en las políticas del ministerio. Pero también las coyunturas electorales han impedido poner en práctica políticas de largo plazo que superen </w:t>
      </w:r>
      <w:r w:rsidR="00A6456A">
        <w:rPr>
          <w:rFonts w:ascii="GaramondPremrPro" w:hAnsi="GaramondPremrPro" w:cs="GaramondPremrPro"/>
          <w:szCs w:val="24"/>
        </w:rPr>
        <w:t>el clientelismo.</w:t>
      </w:r>
    </w:p>
    <w:p w:rsidR="00642D3A" w:rsidRPr="00642D3A" w:rsidRDefault="00642D3A" w:rsidP="00642D3A">
      <w:pPr>
        <w:rPr>
          <w:rFonts w:eastAsiaTheme="minorEastAsia" w:cs="Times New Roman"/>
          <w:szCs w:val="24"/>
        </w:rPr>
      </w:pPr>
      <w:r>
        <w:rPr>
          <w:rFonts w:ascii="GaramondPremrPro" w:hAnsi="GaramondPremrPro" w:cs="GaramondPremrPro"/>
          <w:szCs w:val="24"/>
        </w:rPr>
        <w:tab/>
      </w:r>
      <w:r w:rsidRPr="00642D3A">
        <w:rPr>
          <w:rFonts w:eastAsiaTheme="minorEastAsia" w:cs="Times New Roman"/>
          <w:szCs w:val="24"/>
        </w:rPr>
        <w:t xml:space="preserve">Dos estrategias han conspirado contra el potencial de la participación </w:t>
      </w:r>
      <w:r w:rsidR="00022706">
        <w:rPr>
          <w:rFonts w:eastAsiaTheme="minorEastAsia" w:cs="Times New Roman"/>
          <w:szCs w:val="24"/>
        </w:rPr>
        <w:t>ciudadana en el campo de la salud</w:t>
      </w:r>
      <w:r w:rsidRPr="00642D3A">
        <w:rPr>
          <w:rFonts w:eastAsiaTheme="minorEastAsia" w:cs="Times New Roman"/>
          <w:szCs w:val="24"/>
        </w:rPr>
        <w:t xml:space="preserve">. Por un lado la recentralización y la reconcentración del poder político. Las demandas de una descentralización que permitiera acercar la administración pública local a la sociedad civil organizada, y que constituyó una respuesta alternativa a la descentralización neoliberal basada en el mercado, han quedado neutralizadas por la verticalidad el modelo. Las instancias locales para la construcción colectiva de políticas de salud han sido desmanteladas. Más allá de sus limitaciones operativas, técnicas y políticas, pudieron haber sido potenciadas como espacios para una mayor intervención de las organizaciones sociales en las definiciones estratégicas. Hoy, los consejos de </w:t>
      </w:r>
      <w:proofErr w:type="gramStart"/>
      <w:r w:rsidRPr="00642D3A">
        <w:rPr>
          <w:rFonts w:eastAsiaTheme="minorEastAsia" w:cs="Times New Roman"/>
          <w:szCs w:val="24"/>
        </w:rPr>
        <w:t>salud (provinciales, cantonales y parroquiales</w:t>
      </w:r>
      <w:proofErr w:type="gramEnd"/>
      <w:r w:rsidRPr="00642D3A">
        <w:rPr>
          <w:rFonts w:eastAsiaTheme="minorEastAsia" w:cs="Times New Roman"/>
          <w:szCs w:val="24"/>
        </w:rPr>
        <w:t>) están siendo eliminados inclusive en la legislación.</w:t>
      </w:r>
    </w:p>
    <w:p w:rsidR="00642D3A" w:rsidRPr="00642D3A" w:rsidRDefault="00642D3A" w:rsidP="00642D3A">
      <w:pPr>
        <w:rPr>
          <w:rFonts w:eastAsiaTheme="minorEastAsia" w:cs="Times New Roman"/>
          <w:szCs w:val="24"/>
        </w:rPr>
      </w:pPr>
      <w:r w:rsidRPr="00642D3A">
        <w:rPr>
          <w:rFonts w:eastAsiaTheme="minorEastAsia" w:cs="Times New Roman"/>
          <w:szCs w:val="24"/>
        </w:rPr>
        <w:tab/>
        <w:t>Por otro lado, y en concordancia con el punto anterior, se ha producido una ofensiva en contra de las potestades de los gobiernos autónomos descentralizados</w:t>
      </w:r>
      <w:r w:rsidRPr="00642D3A">
        <w:rPr>
          <w:rFonts w:eastAsiaTheme="minorEastAsia" w:cs="Times New Roman"/>
          <w:szCs w:val="24"/>
          <w:vertAlign w:val="superscript"/>
        </w:rPr>
        <w:footnoteReference w:id="17"/>
      </w:r>
      <w:r w:rsidRPr="00642D3A">
        <w:rPr>
          <w:rFonts w:eastAsiaTheme="minorEastAsia" w:cs="Times New Roman"/>
          <w:szCs w:val="24"/>
        </w:rPr>
        <w:t>. En el campo de la salud, prácticamente se les han eliminado todas las competencias. Con esta medida se restringen las posibilidades de participación ciudadana, puesto que el sector salud es demasiado complejo y voluminoso como para viabilizar procesos participativos a nivel nacional. Ahí radica la inoperancia del Consejo Sectorial Ciudadano de Salud (CSCS), instancia que fue definida, desde la nueva normativa, como el espacio predominante de la participación social en la salud. Resulta imposible dinamizar la participación activa de las organizaciones sociales, gremios, asociaciones, colectivos, etc. en un modelo centralizado que implica, entre otras dificultades, la necesidad de trasladarse frecuentemente a la capital de la República.</w:t>
      </w:r>
    </w:p>
    <w:p w:rsidR="00642D3A" w:rsidRPr="00642D3A" w:rsidRDefault="00642D3A" w:rsidP="00642D3A">
      <w:pPr>
        <w:rPr>
          <w:rFonts w:eastAsiaTheme="minorEastAsia" w:cs="Times New Roman"/>
          <w:szCs w:val="24"/>
        </w:rPr>
      </w:pPr>
      <w:r w:rsidRPr="00642D3A">
        <w:rPr>
          <w:rFonts w:eastAsiaTheme="minorEastAsia" w:cs="Times New Roman"/>
          <w:szCs w:val="24"/>
        </w:rPr>
        <w:tab/>
        <w:t>Otro elemento que debilita en forma estructural al CSCS es su dependencia financiera y operacional del Ministerio de Salud Pública (MSP). La autonomía indispensable para presionar por una agenda que respond</w:t>
      </w:r>
      <w:r w:rsidR="00022706">
        <w:rPr>
          <w:rFonts w:eastAsiaTheme="minorEastAsia" w:cs="Times New Roman"/>
          <w:szCs w:val="24"/>
        </w:rPr>
        <w:t>a a las preocupaciones, interese</w:t>
      </w:r>
      <w:r w:rsidRPr="00642D3A">
        <w:rPr>
          <w:rFonts w:eastAsiaTheme="minorEastAsia" w:cs="Times New Roman"/>
          <w:szCs w:val="24"/>
        </w:rPr>
        <w:t>s y expectativas de la sociedad no tien</w:t>
      </w:r>
      <w:r w:rsidR="00022706">
        <w:rPr>
          <w:rFonts w:eastAsiaTheme="minorEastAsia" w:cs="Times New Roman"/>
          <w:szCs w:val="24"/>
        </w:rPr>
        <w:t>e</w:t>
      </w:r>
      <w:r w:rsidRPr="00642D3A">
        <w:rPr>
          <w:rFonts w:eastAsiaTheme="minorEastAsia" w:cs="Times New Roman"/>
          <w:szCs w:val="24"/>
        </w:rPr>
        <w:t xml:space="preserve"> cabida en este esquema. Sie</w:t>
      </w:r>
      <w:r w:rsidR="00022706">
        <w:rPr>
          <w:rFonts w:eastAsiaTheme="minorEastAsia" w:cs="Times New Roman"/>
          <w:szCs w:val="24"/>
        </w:rPr>
        <w:t>mpre primará la agenda política</w:t>
      </w:r>
      <w:r w:rsidRPr="00642D3A">
        <w:rPr>
          <w:rFonts w:eastAsiaTheme="minorEastAsia" w:cs="Times New Roman"/>
          <w:szCs w:val="24"/>
        </w:rPr>
        <w:t xml:space="preserve"> del régimen, con no poco frecuencia acomodada a los requerimientos coyun</w:t>
      </w:r>
      <w:r w:rsidR="00022706">
        <w:rPr>
          <w:rFonts w:eastAsiaTheme="minorEastAsia" w:cs="Times New Roman"/>
          <w:szCs w:val="24"/>
        </w:rPr>
        <w:t>turales. Las urgencias desplazan</w:t>
      </w:r>
      <w:r w:rsidRPr="00642D3A">
        <w:rPr>
          <w:rFonts w:eastAsiaTheme="minorEastAsia" w:cs="Times New Roman"/>
          <w:szCs w:val="24"/>
        </w:rPr>
        <w:t xml:space="preserve"> a los temas de fondo, como ha ocurrido, por citar un ejemplo, con el debate público de leyes importantísimas como el Código Orgánico de la Salud, la Ley de Seguridad Social y el Código Integral Penal y sus contenidos punitivos en contra de los profesionales médicos. El apuro y sigilo con que estos cuerpos legales han sido asumidos por el oficialismo –ya sea al interior del movimiento Alianza País, en la Asamblea Nacional mayoritariamente controlada por el partido de gobierno, o en el reducido círculo de la Presidencia de la República– no solo que contradicen los principios de transparencia y participación consagrados en la Constitución, sino que provocan graves cortocircuitos sociales, económicos o jurídicos. Algunas normas han tenido que ser revisadas inmediatamente después de ser aprobadas; muchos trámites legislativos han sido postergados en forma indefinida ante la falta de diálogo y acuerdos. El tratamiento de cualquier ley sin abrir y agotar el debate con la sociedad genera tensiones de difícil solución.</w:t>
      </w:r>
    </w:p>
    <w:p w:rsidR="004C2FDA" w:rsidRDefault="004C2FDA" w:rsidP="004C2FDA">
      <w:pPr>
        <w:rPr>
          <w:rFonts w:eastAsia="Times New Roman" w:cs="Times New Roman"/>
          <w:szCs w:val="24"/>
          <w:lang w:eastAsia="es-EC"/>
        </w:rPr>
      </w:pPr>
    </w:p>
    <w:p w:rsidR="004C2FDA" w:rsidRPr="004C2FDA" w:rsidRDefault="004C2FDA" w:rsidP="004C2FDA">
      <w:pPr>
        <w:rPr>
          <w:rFonts w:eastAsia="Times New Roman" w:cs="Times New Roman"/>
          <w:b/>
          <w:szCs w:val="24"/>
          <w:lang w:eastAsia="es-EC"/>
        </w:rPr>
      </w:pPr>
      <w:r w:rsidRPr="004C2FDA">
        <w:rPr>
          <w:rFonts w:eastAsia="Times New Roman" w:cs="Times New Roman"/>
          <w:b/>
          <w:szCs w:val="24"/>
          <w:lang w:eastAsia="es-EC"/>
        </w:rPr>
        <w:t>Límites a las propuestas y experiencias</w:t>
      </w:r>
      <w:r w:rsidR="007315FC">
        <w:rPr>
          <w:rFonts w:eastAsia="Times New Roman" w:cs="Times New Roman"/>
          <w:b/>
          <w:szCs w:val="24"/>
          <w:lang w:eastAsia="es-EC"/>
        </w:rPr>
        <w:t>.</w:t>
      </w:r>
    </w:p>
    <w:p w:rsidR="004C2FDA" w:rsidRPr="000E7D6E" w:rsidRDefault="004C2FDA" w:rsidP="004C2FDA">
      <w:pPr>
        <w:rPr>
          <w:rFonts w:eastAsia="Times New Roman" w:cs="Times New Roman"/>
          <w:szCs w:val="24"/>
          <w:lang w:eastAsia="es-EC"/>
        </w:rPr>
      </w:pPr>
    </w:p>
    <w:p w:rsidR="002D154A" w:rsidRPr="000E7D6E" w:rsidRDefault="004C2FDA" w:rsidP="002D154A">
      <w:pPr>
        <w:pStyle w:val="Prrafodelista"/>
        <w:autoSpaceDE w:val="0"/>
        <w:autoSpaceDN w:val="0"/>
        <w:adjustRightInd w:val="0"/>
        <w:ind w:left="0"/>
        <w:jc w:val="both"/>
      </w:pPr>
      <w:r w:rsidRPr="000E7D6E">
        <w:rPr>
          <w:lang w:eastAsia="es-EC"/>
        </w:rPr>
        <w:tab/>
      </w:r>
      <w:r w:rsidR="000E7D6E" w:rsidRPr="000E7D6E">
        <w:rPr>
          <w:lang w:val="es-EC"/>
        </w:rPr>
        <w:t>T</w:t>
      </w:r>
      <w:r w:rsidR="002D154A" w:rsidRPr="000E7D6E">
        <w:rPr>
          <w:lang w:val="es-EC"/>
        </w:rPr>
        <w:t>anto la definición de pisos de protección social de la OIT,  co</w:t>
      </w:r>
      <w:r w:rsidR="00C74554">
        <w:rPr>
          <w:lang w:val="es-EC"/>
        </w:rPr>
        <w:t>mo la propuesta  de</w:t>
      </w:r>
      <w:r w:rsidR="002D154A" w:rsidRPr="000E7D6E">
        <w:rPr>
          <w:lang w:val="es-EC"/>
        </w:rPr>
        <w:t xml:space="preserve"> </w:t>
      </w:r>
      <w:r w:rsidR="00C74554" w:rsidRPr="00C74554">
        <w:t>cobertura universal de s</w:t>
      </w:r>
      <w:r w:rsidR="002D154A" w:rsidRPr="00C74554">
        <w:t>alud</w:t>
      </w:r>
      <w:r w:rsidR="002D154A" w:rsidRPr="000E7D6E">
        <w:t xml:space="preserve"> de la O</w:t>
      </w:r>
      <w:r w:rsidR="00C74554">
        <w:t xml:space="preserve">rganización </w:t>
      </w:r>
      <w:r w:rsidR="002D154A" w:rsidRPr="000E7D6E">
        <w:t>M</w:t>
      </w:r>
      <w:r w:rsidR="00C74554">
        <w:t xml:space="preserve">undial de la </w:t>
      </w:r>
      <w:r w:rsidR="002D154A" w:rsidRPr="000E7D6E">
        <w:t>S</w:t>
      </w:r>
      <w:r w:rsidR="00C74554">
        <w:t>alud</w:t>
      </w:r>
      <w:r w:rsidR="002D154A" w:rsidRPr="000E7D6E">
        <w:t xml:space="preserve">, </w:t>
      </w:r>
      <w:r w:rsidR="00C74554">
        <w:t xml:space="preserve">que sería una de las </w:t>
      </w:r>
      <w:r w:rsidR="00C74554">
        <w:lastRenderedPageBreak/>
        <w:t>estrategias para alcanzar mejores niveles de protección social en América Latina,</w:t>
      </w:r>
      <w:r w:rsidR="002D154A" w:rsidRPr="000E7D6E">
        <w:t xml:space="preserve"> implican ciertos </w:t>
      </w:r>
      <w:r w:rsidR="002D154A" w:rsidRPr="00C74554">
        <w:t>peligros</w:t>
      </w:r>
      <w:r w:rsidR="002D154A" w:rsidRPr="000E7D6E">
        <w:t xml:space="preserve">: </w:t>
      </w:r>
    </w:p>
    <w:p w:rsidR="002D154A" w:rsidRPr="000E7D6E" w:rsidRDefault="002D154A" w:rsidP="002D154A">
      <w:pPr>
        <w:pStyle w:val="Prrafodelista"/>
        <w:autoSpaceDE w:val="0"/>
        <w:autoSpaceDN w:val="0"/>
        <w:adjustRightInd w:val="0"/>
        <w:ind w:left="0"/>
        <w:jc w:val="both"/>
      </w:pPr>
    </w:p>
    <w:p w:rsidR="00DC60B5" w:rsidRPr="000E6BB6" w:rsidRDefault="00316794" w:rsidP="00DC60B5">
      <w:pPr>
        <w:pStyle w:val="Prrafodelista"/>
        <w:numPr>
          <w:ilvl w:val="0"/>
          <w:numId w:val="5"/>
        </w:numPr>
        <w:autoSpaceDE w:val="0"/>
        <w:autoSpaceDN w:val="0"/>
        <w:adjustRightInd w:val="0"/>
        <w:contextualSpacing/>
        <w:jc w:val="both"/>
        <w:rPr>
          <w:iCs/>
        </w:rPr>
      </w:pPr>
      <w:r>
        <w:t>L</w:t>
      </w:r>
      <w:r w:rsidR="002D154A" w:rsidRPr="000E7D6E">
        <w:t xml:space="preserve">a </w:t>
      </w:r>
      <w:r>
        <w:t>cobertura u</w:t>
      </w:r>
      <w:r w:rsidR="002D154A" w:rsidRPr="00316794">
        <w:t>nive</w:t>
      </w:r>
      <w:r>
        <w:t>rsal de s</w:t>
      </w:r>
      <w:r w:rsidR="002D154A" w:rsidRPr="00316794">
        <w:t>alud</w:t>
      </w:r>
      <w:r w:rsidR="002D154A" w:rsidRPr="008B2909">
        <w:rPr>
          <w:b/>
          <w:bCs/>
          <w:i/>
          <w:iCs/>
        </w:rPr>
        <w:t xml:space="preserve"> </w:t>
      </w:r>
      <w:r>
        <w:t>puede conducir</w:t>
      </w:r>
      <w:r w:rsidR="002D154A" w:rsidRPr="000E7D6E">
        <w:t xml:space="preserve"> hacia la privatización y comercialización de la salud, a través de la instalación de seguros privados  o estatales con paquetes básicos </w:t>
      </w:r>
      <w:r w:rsidR="00AF7B7A">
        <w:t xml:space="preserve">diferenciados </w:t>
      </w:r>
      <w:r w:rsidR="002D154A" w:rsidRPr="000E7D6E">
        <w:t xml:space="preserve">para los  </w:t>
      </w:r>
      <w:r w:rsidRPr="008B2909">
        <w:rPr>
          <w:iCs/>
        </w:rPr>
        <w:t>pobres</w:t>
      </w:r>
      <w:r w:rsidR="00617CA2">
        <w:t>. Esto implicaría fomentar una</w:t>
      </w:r>
      <w:r w:rsidR="00856EC0">
        <w:t xml:space="preserve"> salud deficiente y limitada para la población pobre y otra de calidad </w:t>
      </w:r>
      <w:r w:rsidR="008156E5">
        <w:t xml:space="preserve">e ilimitada </w:t>
      </w:r>
      <w:r w:rsidR="00856EC0">
        <w:t>para la población adinerada</w:t>
      </w:r>
      <w:r w:rsidR="008156E5">
        <w:t xml:space="preserve">, que tiene los medios para cubrir sus gastos y que adicionalmente se beneficiaría </w:t>
      </w:r>
      <w:r w:rsidR="008156E5" w:rsidRPr="008B2909">
        <w:rPr>
          <w:iCs/>
        </w:rPr>
        <w:t>de subsidios estatales y exenciones tributarias. En este esquema se terminaría transfiriendo</w:t>
      </w:r>
      <w:r w:rsidR="002D154A" w:rsidRPr="008B2909">
        <w:rPr>
          <w:iCs/>
        </w:rPr>
        <w:t xml:space="preserve"> recursos </w:t>
      </w:r>
      <w:r w:rsidR="008156E5" w:rsidRPr="008B2909">
        <w:rPr>
          <w:iCs/>
        </w:rPr>
        <w:t>públicos a</w:t>
      </w:r>
      <w:r w:rsidR="002D154A" w:rsidRPr="008B2909">
        <w:rPr>
          <w:iCs/>
        </w:rPr>
        <w:t xml:space="preserve"> </w:t>
      </w:r>
      <w:r w:rsidR="008156E5" w:rsidRPr="008B2909">
        <w:rPr>
          <w:iCs/>
        </w:rPr>
        <w:t xml:space="preserve">los ricos. Este modelo </w:t>
      </w:r>
      <w:r w:rsidR="00040E05">
        <w:rPr>
          <w:iCs/>
        </w:rPr>
        <w:t>so</w:t>
      </w:r>
      <w:r w:rsidR="002D154A" w:rsidRPr="008B2909">
        <w:rPr>
          <w:iCs/>
        </w:rPr>
        <w:t xml:space="preserve">lo profundizará las desigualdades e inequidades </w:t>
      </w:r>
      <w:r w:rsidR="0028691F" w:rsidRPr="008B2909">
        <w:rPr>
          <w:iCs/>
        </w:rPr>
        <w:t xml:space="preserve">sociales. </w:t>
      </w:r>
    </w:p>
    <w:p w:rsidR="002D154A" w:rsidRPr="000E6BB6" w:rsidRDefault="008703FD" w:rsidP="000E6BB6">
      <w:pPr>
        <w:pStyle w:val="Prrafodelista"/>
        <w:numPr>
          <w:ilvl w:val="0"/>
          <w:numId w:val="5"/>
        </w:numPr>
        <w:autoSpaceDE w:val="0"/>
        <w:autoSpaceDN w:val="0"/>
        <w:adjustRightInd w:val="0"/>
        <w:contextualSpacing/>
        <w:jc w:val="both"/>
      </w:pPr>
      <w:r w:rsidRPr="00040E05">
        <w:rPr>
          <w:iCs/>
        </w:rPr>
        <w:t>Al lado de estos sistemas de cobertura universal</w:t>
      </w:r>
      <w:r w:rsidR="002D154A" w:rsidRPr="00040E05">
        <w:rPr>
          <w:iCs/>
        </w:rPr>
        <w:t xml:space="preserve"> quedan vestigios de l</w:t>
      </w:r>
      <w:r w:rsidR="00981063" w:rsidRPr="00040E05">
        <w:rPr>
          <w:iCs/>
        </w:rPr>
        <w:t>os sistemas de seguridad social</w:t>
      </w:r>
      <w:r w:rsidR="002D154A" w:rsidRPr="00040E05">
        <w:rPr>
          <w:iCs/>
        </w:rPr>
        <w:t xml:space="preserve"> desmantelados bajo los parad</w:t>
      </w:r>
      <w:r w:rsidR="00981063" w:rsidRPr="00040E05">
        <w:rPr>
          <w:iCs/>
        </w:rPr>
        <w:t>igmas neoliberales,</w:t>
      </w:r>
      <w:r w:rsidR="002D154A" w:rsidRPr="00040E05">
        <w:rPr>
          <w:iCs/>
        </w:rPr>
        <w:t xml:space="preserve"> </w:t>
      </w:r>
      <w:r w:rsidR="00981063" w:rsidRPr="00040E05">
        <w:rPr>
          <w:iCs/>
        </w:rPr>
        <w:t>que prestan  servicios de salud y de pensiones a trabajadores del sector formal</w:t>
      </w:r>
      <w:r w:rsidR="002D154A" w:rsidRPr="00040E05">
        <w:rPr>
          <w:iCs/>
        </w:rPr>
        <w:t xml:space="preserve"> que no superan al 20% de la población.  </w:t>
      </w:r>
      <w:r w:rsidR="00737348" w:rsidRPr="00040E05">
        <w:rPr>
          <w:iCs/>
        </w:rPr>
        <w:t>El reto es có</w:t>
      </w:r>
      <w:r w:rsidR="002D154A" w:rsidRPr="00040E05">
        <w:rPr>
          <w:iCs/>
        </w:rPr>
        <w:t>mo ampliar estos sistemas para garantizar una protección social integral a la población y como interrelacionar los diferentes sistemas.</w:t>
      </w:r>
    </w:p>
    <w:p w:rsidR="002D154A" w:rsidRPr="007C6194" w:rsidRDefault="002D154A" w:rsidP="00DF47B0">
      <w:pPr>
        <w:pStyle w:val="Prrafodelista"/>
        <w:numPr>
          <w:ilvl w:val="0"/>
          <w:numId w:val="5"/>
        </w:numPr>
        <w:autoSpaceDE w:val="0"/>
        <w:autoSpaceDN w:val="0"/>
        <w:adjustRightInd w:val="0"/>
        <w:contextualSpacing/>
        <w:jc w:val="both"/>
      </w:pPr>
      <w:r w:rsidRPr="007C6194">
        <w:t xml:space="preserve">La propuesta del piso de protección social de </w:t>
      </w:r>
      <w:r w:rsidR="00433479">
        <w:t xml:space="preserve">la </w:t>
      </w:r>
      <w:r w:rsidRPr="007C6194">
        <w:t>OIT/OMS no cuestiona el sistema económico capitalista vigente y más bien puede llevar a consolidar los procesos de precarización del trabajo.</w:t>
      </w:r>
      <w:r w:rsidR="00F2383C">
        <w:t xml:space="preserve"> Se basa en la disponibilidad de recursos financieros estatales, pero no </w:t>
      </w:r>
      <w:r w:rsidR="00F42D6B">
        <w:t xml:space="preserve">analiza el trasfondo de la inequidad en la distribución de la riqueza, que es el mayor obstáculo para </w:t>
      </w:r>
      <w:r w:rsidR="00333706">
        <w:t>promover y consolidar una protección social integral basad</w:t>
      </w:r>
      <w:r w:rsidR="006022BF">
        <w:t xml:space="preserve">a en la capacidad de la sociedad y no en la dependencia del Estado. En un sistema </w:t>
      </w:r>
      <w:r w:rsidR="002F3BDA">
        <w:t>con profundas</w:t>
      </w:r>
      <w:r w:rsidR="006022BF">
        <w:t xml:space="preserve"> desigualdades, la mayor producción de riqueza siempre termina beneficiando a las élites y afectando a los sectores más pobres y vulnerables.</w:t>
      </w:r>
      <w:r w:rsidRPr="007C6194">
        <w:t xml:space="preserve"> En estos términos, el enfoque parec</w:t>
      </w:r>
      <w:r w:rsidR="001E791B">
        <w:t>e inscribirse en los marcos del</w:t>
      </w:r>
      <w:r w:rsidR="001E3984">
        <w:t xml:space="preserve"> modelo </w:t>
      </w:r>
      <w:r w:rsidRPr="007C6194">
        <w:t>liberal: asegurar mínimos de subsistencia para enfrentar los saldos de inequidad que deja el mercado, v</w:t>
      </w:r>
      <w:r w:rsidR="001E791B">
        <w:t>elando por  la “gobernabilidad”</w:t>
      </w:r>
      <w:r w:rsidRPr="007C6194">
        <w:t xml:space="preserve"> más que por el bienestar. Lo social sigue subordinado a lo económico.</w:t>
      </w:r>
      <w:r w:rsidRPr="008B2909">
        <w:rPr>
          <w:rStyle w:val="Refdenotaalpie"/>
        </w:rPr>
        <w:t xml:space="preserve"> </w:t>
      </w:r>
    </w:p>
    <w:p w:rsidR="002D154A" w:rsidRPr="000E7D6E" w:rsidRDefault="002D154A" w:rsidP="002D154A">
      <w:pPr>
        <w:autoSpaceDE w:val="0"/>
        <w:autoSpaceDN w:val="0"/>
        <w:adjustRightInd w:val="0"/>
        <w:rPr>
          <w:rFonts w:cs="Times New Roman"/>
          <w:szCs w:val="24"/>
        </w:rPr>
      </w:pPr>
    </w:p>
    <w:p w:rsidR="002D154A" w:rsidRDefault="007B2F39" w:rsidP="008B2909">
      <w:pPr>
        <w:autoSpaceDE w:val="0"/>
        <w:autoSpaceDN w:val="0"/>
        <w:adjustRightInd w:val="0"/>
        <w:ind w:firstLine="360"/>
        <w:rPr>
          <w:rFonts w:cs="Times New Roman"/>
          <w:szCs w:val="24"/>
        </w:rPr>
      </w:pPr>
      <w:r>
        <w:rPr>
          <w:rFonts w:cs="Times New Roman"/>
          <w:szCs w:val="24"/>
        </w:rPr>
        <w:t>N</w:t>
      </w:r>
      <w:r w:rsidR="002D154A" w:rsidRPr="000E7D6E">
        <w:rPr>
          <w:rFonts w:cs="Times New Roman"/>
          <w:szCs w:val="24"/>
        </w:rPr>
        <w:t xml:space="preserve">o </w:t>
      </w:r>
      <w:r>
        <w:rPr>
          <w:rFonts w:cs="Times New Roman"/>
          <w:szCs w:val="24"/>
        </w:rPr>
        <w:t>se puede</w:t>
      </w:r>
      <w:r w:rsidR="002D154A" w:rsidRPr="000E7D6E">
        <w:rPr>
          <w:rFonts w:cs="Times New Roman"/>
          <w:szCs w:val="24"/>
        </w:rPr>
        <w:t xml:space="preserve"> o</w:t>
      </w:r>
      <w:r>
        <w:rPr>
          <w:rFonts w:cs="Times New Roman"/>
          <w:szCs w:val="24"/>
        </w:rPr>
        <w:t xml:space="preserve">lvidar que las </w:t>
      </w:r>
      <w:r w:rsidR="00944F5D">
        <w:rPr>
          <w:rFonts w:cs="Times New Roman"/>
          <w:szCs w:val="24"/>
        </w:rPr>
        <w:t>iniciativas</w:t>
      </w:r>
      <w:r>
        <w:rPr>
          <w:rFonts w:cs="Times New Roman"/>
          <w:szCs w:val="24"/>
        </w:rPr>
        <w:t xml:space="preserve"> de </w:t>
      </w:r>
      <w:r w:rsidR="002D154A" w:rsidRPr="000E7D6E">
        <w:rPr>
          <w:rFonts w:cs="Times New Roman"/>
          <w:bCs/>
          <w:iCs/>
          <w:szCs w:val="24"/>
        </w:rPr>
        <w:t>Pis</w:t>
      </w:r>
      <w:r>
        <w:rPr>
          <w:rFonts w:cs="Times New Roman"/>
          <w:bCs/>
          <w:iCs/>
          <w:szCs w:val="24"/>
        </w:rPr>
        <w:t>os de Protección Social y de Cobertura Universal de Salud</w:t>
      </w:r>
      <w:r w:rsidR="002D154A" w:rsidRPr="000E7D6E">
        <w:rPr>
          <w:rFonts w:cs="Times New Roman"/>
          <w:bCs/>
          <w:iCs/>
          <w:szCs w:val="24"/>
        </w:rPr>
        <w:t xml:space="preserve"> </w:t>
      </w:r>
      <w:r w:rsidR="002D154A" w:rsidRPr="000E7D6E">
        <w:rPr>
          <w:rFonts w:cs="Times New Roman"/>
          <w:szCs w:val="24"/>
        </w:rPr>
        <w:t xml:space="preserve">son propuestas </w:t>
      </w:r>
      <w:r w:rsidR="00944F5D" w:rsidRPr="000E7D6E">
        <w:rPr>
          <w:rFonts w:cs="Times New Roman"/>
          <w:szCs w:val="24"/>
        </w:rPr>
        <w:t xml:space="preserve">remozadas </w:t>
      </w:r>
      <w:r w:rsidR="002D154A" w:rsidRPr="000E7D6E">
        <w:rPr>
          <w:rFonts w:cs="Times New Roman"/>
          <w:szCs w:val="24"/>
        </w:rPr>
        <w:t>del Banco Mundial, Banco Interamericano de D</w:t>
      </w:r>
      <w:r w:rsidR="00944F5D">
        <w:rPr>
          <w:rFonts w:cs="Times New Roman"/>
          <w:szCs w:val="24"/>
        </w:rPr>
        <w:t xml:space="preserve">esarrollo, etc. desde los años </w:t>
      </w:r>
      <w:r w:rsidR="002D154A" w:rsidRPr="000E7D6E">
        <w:rPr>
          <w:rFonts w:cs="Times New Roman"/>
          <w:szCs w:val="24"/>
        </w:rPr>
        <w:t>90, con paquete</w:t>
      </w:r>
      <w:r w:rsidR="00944F5D">
        <w:rPr>
          <w:rFonts w:cs="Times New Roman"/>
          <w:szCs w:val="24"/>
        </w:rPr>
        <w:t>s sociales focalizados p</w:t>
      </w:r>
      <w:r w:rsidR="00E002E2">
        <w:rPr>
          <w:rFonts w:cs="Times New Roman"/>
          <w:szCs w:val="24"/>
        </w:rPr>
        <w:t>ara la lucha contra la pobreza. Han sido</w:t>
      </w:r>
      <w:r w:rsidR="00DA329D">
        <w:rPr>
          <w:rFonts w:cs="Times New Roman"/>
          <w:szCs w:val="24"/>
        </w:rPr>
        <w:t xml:space="preserve"> promovida</w:t>
      </w:r>
      <w:r w:rsidR="00944F5D">
        <w:rPr>
          <w:rFonts w:cs="Times New Roman"/>
          <w:szCs w:val="24"/>
        </w:rPr>
        <w:t xml:space="preserve">s por la propia Organización de las Naciones Unidas. </w:t>
      </w:r>
      <w:r w:rsidR="002D154A" w:rsidRPr="000E7D6E">
        <w:rPr>
          <w:rFonts w:cs="Times New Roman"/>
          <w:szCs w:val="24"/>
        </w:rPr>
        <w:t xml:space="preserve"> </w:t>
      </w:r>
    </w:p>
    <w:p w:rsidR="000E6BB6" w:rsidRDefault="000E6BB6" w:rsidP="000E6BB6">
      <w:pPr>
        <w:autoSpaceDE w:val="0"/>
        <w:autoSpaceDN w:val="0"/>
        <w:adjustRightInd w:val="0"/>
        <w:rPr>
          <w:rFonts w:cs="Times New Roman"/>
          <w:szCs w:val="24"/>
        </w:rPr>
      </w:pPr>
    </w:p>
    <w:p w:rsidR="000E6BB6" w:rsidRPr="000E6BB6" w:rsidRDefault="000E6BB6" w:rsidP="000E6BB6">
      <w:pPr>
        <w:autoSpaceDE w:val="0"/>
        <w:autoSpaceDN w:val="0"/>
        <w:adjustRightInd w:val="0"/>
        <w:rPr>
          <w:rFonts w:cs="Times New Roman"/>
          <w:b/>
          <w:szCs w:val="24"/>
        </w:rPr>
      </w:pPr>
      <w:r w:rsidRPr="000E6BB6">
        <w:rPr>
          <w:rFonts w:cs="Times New Roman"/>
          <w:b/>
          <w:szCs w:val="24"/>
        </w:rPr>
        <w:t>Conclusiones</w:t>
      </w:r>
      <w:r w:rsidR="007315FC">
        <w:rPr>
          <w:rFonts w:cs="Times New Roman"/>
          <w:b/>
          <w:szCs w:val="24"/>
        </w:rPr>
        <w:t>.</w:t>
      </w:r>
    </w:p>
    <w:p w:rsidR="00C074DA" w:rsidRDefault="00C074DA" w:rsidP="008B2909">
      <w:pPr>
        <w:autoSpaceDE w:val="0"/>
        <w:autoSpaceDN w:val="0"/>
        <w:adjustRightInd w:val="0"/>
        <w:rPr>
          <w:rFonts w:cs="Times New Roman"/>
          <w:szCs w:val="24"/>
        </w:rPr>
      </w:pPr>
    </w:p>
    <w:p w:rsidR="00A575B9" w:rsidRDefault="00A575B9" w:rsidP="008B2909">
      <w:pPr>
        <w:autoSpaceDE w:val="0"/>
        <w:autoSpaceDN w:val="0"/>
        <w:adjustRightInd w:val="0"/>
        <w:rPr>
          <w:rFonts w:cs="Times New Roman"/>
          <w:szCs w:val="24"/>
        </w:rPr>
      </w:pPr>
      <w:r>
        <w:rPr>
          <w:rFonts w:cs="Times New Roman"/>
          <w:szCs w:val="24"/>
        </w:rPr>
        <w:tab/>
      </w:r>
      <w:r w:rsidR="005F4985">
        <w:rPr>
          <w:rFonts w:cs="Times New Roman"/>
          <w:szCs w:val="24"/>
        </w:rPr>
        <w:t>El debate sobre la protección social como derecho fundamental e impostergable de los seres humanos no puede deslindarse del debate más profundo sobre el tipo de sociedad que pretendemos construir. Y esto, a su vez, está estrechamente relacionado con la definición de un paradigma político e ideológico que posibilite relaciones sociales más democráticas e igualitarias. Pero un asunto tan complejo y extenso no puede ser materia de la presente ponencia. Por lo mismo, trataremos de sacar</w:t>
      </w:r>
      <w:r w:rsidR="00CE0330">
        <w:rPr>
          <w:rFonts w:cs="Times New Roman"/>
          <w:szCs w:val="24"/>
        </w:rPr>
        <w:t xml:space="preserve"> algunas conclusiones a partir del mismo marco conceptual que nos ofrecen los referentes teóricos del gobierno ecuatoriano, de la CEPAL</w:t>
      </w:r>
      <w:r w:rsidR="00CE0330" w:rsidRPr="00CE0330">
        <w:rPr>
          <w:rFonts w:cs="Times New Roman"/>
          <w:szCs w:val="24"/>
        </w:rPr>
        <w:t xml:space="preserve"> </w:t>
      </w:r>
      <w:r w:rsidR="00CE0330">
        <w:rPr>
          <w:rFonts w:cs="Times New Roman"/>
          <w:szCs w:val="24"/>
        </w:rPr>
        <w:t>y de la OIT, así como del ejercicio político práctico del régimen correísta.</w:t>
      </w:r>
    </w:p>
    <w:p w:rsidR="00CE0330" w:rsidRDefault="00CE0330" w:rsidP="008B2909">
      <w:pPr>
        <w:autoSpaceDE w:val="0"/>
        <w:autoSpaceDN w:val="0"/>
        <w:adjustRightInd w:val="0"/>
        <w:rPr>
          <w:rFonts w:cs="Times New Roman"/>
          <w:szCs w:val="24"/>
        </w:rPr>
      </w:pPr>
      <w:r>
        <w:rPr>
          <w:rFonts w:cs="Times New Roman"/>
          <w:szCs w:val="24"/>
        </w:rPr>
        <w:tab/>
        <w:t>La primera observación apunta a la relación que se establece entre Estado, sociedad y mercado, y de la cual la naturaleza, como cuarto pilar de un sistema social contempor</w:t>
      </w:r>
      <w:r w:rsidR="00890A41">
        <w:rPr>
          <w:rFonts w:cs="Times New Roman"/>
          <w:szCs w:val="24"/>
        </w:rPr>
        <w:t>áneo</w:t>
      </w:r>
      <w:r>
        <w:rPr>
          <w:rFonts w:cs="Times New Roman"/>
          <w:szCs w:val="24"/>
        </w:rPr>
        <w:t xml:space="preserve">, está </w:t>
      </w:r>
      <w:r w:rsidR="00890A41">
        <w:rPr>
          <w:rFonts w:cs="Times New Roman"/>
          <w:szCs w:val="24"/>
        </w:rPr>
        <w:t>completamente</w:t>
      </w:r>
      <w:r>
        <w:rPr>
          <w:rFonts w:cs="Times New Roman"/>
          <w:szCs w:val="24"/>
        </w:rPr>
        <w:t xml:space="preserve"> ausente de los an</w:t>
      </w:r>
      <w:r w:rsidR="00890A41">
        <w:rPr>
          <w:rFonts w:cs="Times New Roman"/>
          <w:szCs w:val="24"/>
        </w:rPr>
        <w:t>álisis y recomendaciones.</w:t>
      </w:r>
      <w:r>
        <w:rPr>
          <w:rFonts w:cs="Times New Roman"/>
          <w:szCs w:val="24"/>
        </w:rPr>
        <w:t xml:space="preserve"> </w:t>
      </w:r>
      <w:r w:rsidR="00890A41">
        <w:rPr>
          <w:rFonts w:cs="Times New Roman"/>
          <w:szCs w:val="24"/>
        </w:rPr>
        <w:t xml:space="preserve">Todas </w:t>
      </w:r>
      <w:r w:rsidR="00890A41">
        <w:rPr>
          <w:rFonts w:cs="Times New Roman"/>
          <w:szCs w:val="24"/>
        </w:rPr>
        <w:lastRenderedPageBreak/>
        <w:t>las propuestas revisadas le asignan un rol hegemónico al Estado, el cual, supuestamente, tendría la capacidad de regular al mercado y favorecer discrecionalmente a la sociedad. Lo que  hemos constatado es que, dentro de la nueva lógica de acumulación del capital, ni el mercado se somete al poder del Estado ni la sociedad se fortalece. Todo lo contrario: la arremetida de las grandes corporaciones multinacionales está imponiendo una dinámica en la que los pisos de protección social tienen la misión de amortiguar los devastadores efectos socioeconómicos, ambientales y culturales que se derivan de los nuevos esquemas productivos.</w:t>
      </w:r>
      <w:r w:rsidR="0072203C">
        <w:rPr>
          <w:rFonts w:cs="Times New Roman"/>
          <w:szCs w:val="24"/>
        </w:rPr>
        <w:t xml:space="preserve"> Es una estrategia</w:t>
      </w:r>
      <w:r w:rsidR="006175DB">
        <w:rPr>
          <w:rFonts w:cs="Times New Roman"/>
          <w:szCs w:val="24"/>
        </w:rPr>
        <w:t xml:space="preserve"> para neutralizar la resistencia social y, al mismo tiempo, asegurar una reproducción </w:t>
      </w:r>
      <w:r w:rsidR="000B1914">
        <w:rPr>
          <w:rFonts w:cs="Times New Roman"/>
          <w:szCs w:val="24"/>
        </w:rPr>
        <w:t>prudente</w:t>
      </w:r>
      <w:r w:rsidR="000C59D5">
        <w:rPr>
          <w:rFonts w:cs="Times New Roman"/>
          <w:szCs w:val="24"/>
        </w:rPr>
        <w:t xml:space="preserve"> de la fuerza laboral. </w:t>
      </w:r>
      <w:r w:rsidR="00A005F0">
        <w:rPr>
          <w:rFonts w:cs="Times New Roman"/>
          <w:szCs w:val="24"/>
        </w:rPr>
        <w:t xml:space="preserve">Por eso la participación social adolece de tantas distorsiones y debilidades; porque desde esta visión resulta inconveniente fortalecer una autonomía de los movimientos y organizaciones locales y de base que pueda desembocar </w:t>
      </w:r>
      <w:r w:rsidR="007C6E8C">
        <w:rPr>
          <w:rFonts w:cs="Times New Roman"/>
          <w:szCs w:val="24"/>
        </w:rPr>
        <w:t xml:space="preserve">en una agenda propia, contra-hegemónica o anti-sistémica. </w:t>
      </w:r>
      <w:r w:rsidR="00FC146D">
        <w:rPr>
          <w:rFonts w:cs="Times New Roman"/>
          <w:szCs w:val="24"/>
        </w:rPr>
        <w:t>En el plano de la economía, por ejemplo, una estrategia de generación de emplea desde la sociedad civil entraría en franca contradicción con los grandes grupos económicos que controlan la producción y el comercio de la mayor parte de productos básicos</w:t>
      </w:r>
      <w:r w:rsidR="00FC146D">
        <w:rPr>
          <w:rStyle w:val="Refdenotaalpie"/>
          <w:rFonts w:cs="Times New Roman"/>
          <w:szCs w:val="24"/>
        </w:rPr>
        <w:footnoteReference w:id="18"/>
      </w:r>
      <w:r w:rsidR="00FC146D">
        <w:rPr>
          <w:rFonts w:cs="Times New Roman"/>
          <w:szCs w:val="24"/>
        </w:rPr>
        <w:t>.</w:t>
      </w:r>
    </w:p>
    <w:p w:rsidR="006A447B" w:rsidRDefault="006A447B" w:rsidP="008B2909">
      <w:pPr>
        <w:autoSpaceDE w:val="0"/>
        <w:autoSpaceDN w:val="0"/>
        <w:adjustRightInd w:val="0"/>
        <w:rPr>
          <w:rFonts w:cs="Times New Roman"/>
          <w:szCs w:val="24"/>
        </w:rPr>
      </w:pPr>
      <w:r>
        <w:rPr>
          <w:rFonts w:cs="Times New Roman"/>
          <w:szCs w:val="24"/>
        </w:rPr>
        <w:tab/>
        <w:t xml:space="preserve">En realidad, el gobierno ecuatoriano, en representación del Estado, está negociando con el mercado a espaldas de la sociedad. </w:t>
      </w:r>
      <w:r w:rsidR="001442EC">
        <w:rPr>
          <w:rFonts w:cs="Times New Roman"/>
          <w:szCs w:val="24"/>
        </w:rPr>
        <w:t>Dos ejemplos lo ilustran: l</w:t>
      </w:r>
      <w:r>
        <w:rPr>
          <w:rFonts w:cs="Times New Roman"/>
          <w:szCs w:val="24"/>
        </w:rPr>
        <w:t>a trans</w:t>
      </w:r>
      <w:r w:rsidR="001442EC">
        <w:rPr>
          <w:rFonts w:cs="Times New Roman"/>
          <w:szCs w:val="24"/>
        </w:rPr>
        <w:t>ferencia de fondos públicos al sector privado, dentro de los rubros destinados a inversión social (salud, aseguramiento, vivienda, infraestructura hospitalaria y educativa, etc.) es gigantesca. De igual manera, las negociaciones del TLC con la UE no solo que se realizaron  en la más hermética reserva, sino que fueron disimulados durante varios años bajo una falsa retórica soberana y antimperialista. Solo así fue posible neutralizar una posible reacción social como la que se produjo cuando go</w:t>
      </w:r>
      <w:r w:rsidR="00C75E0C">
        <w:rPr>
          <w:rFonts w:cs="Times New Roman"/>
          <w:szCs w:val="24"/>
        </w:rPr>
        <w:t>biernos anteriores quisieron negociar lo mismo con los Estados Unidos. Al final, las políticas públicas han sido aplicadas con absoluta verticalidad, yéndose por encima de las debilitadas organizaciones de la sociedad civil.</w:t>
      </w:r>
    </w:p>
    <w:p w:rsidR="00C75E0C" w:rsidRDefault="00C75E0C" w:rsidP="008B2909">
      <w:pPr>
        <w:autoSpaceDE w:val="0"/>
        <w:autoSpaceDN w:val="0"/>
        <w:adjustRightInd w:val="0"/>
        <w:rPr>
          <w:rFonts w:cs="Times New Roman"/>
          <w:szCs w:val="24"/>
        </w:rPr>
      </w:pPr>
      <w:r>
        <w:rPr>
          <w:rFonts w:cs="Times New Roman"/>
          <w:szCs w:val="24"/>
        </w:rPr>
        <w:tab/>
      </w:r>
      <w:r w:rsidR="009D0732">
        <w:rPr>
          <w:rFonts w:cs="Times New Roman"/>
          <w:szCs w:val="24"/>
        </w:rPr>
        <w:t xml:space="preserve">El mayor riesgo de esta ausencia de dialogo, participación y consenso social es la insostenibilidad de cualquier política de protección social. Inclusive de aquella enmarcada dentro de los parámetro </w:t>
      </w:r>
      <w:proofErr w:type="spellStart"/>
      <w:r w:rsidR="009D0732">
        <w:rPr>
          <w:rFonts w:cs="Times New Roman"/>
          <w:szCs w:val="24"/>
        </w:rPr>
        <w:t>neodesarrollistas</w:t>
      </w:r>
      <w:proofErr w:type="spellEnd"/>
      <w:r w:rsidR="009D0732">
        <w:rPr>
          <w:rFonts w:cs="Times New Roman"/>
          <w:szCs w:val="24"/>
        </w:rPr>
        <w:t xml:space="preserve"> establecidos por el gobierno ecuatoriano, la CEPAL o la OIT. Un régimen de acumulación centrado en el capital monopólico transnacional termina desmantelando las posibilidades de estructurar un modelo de desarrollo enfocado hacia las necesidades internas. Hasta ahora, la inversión social en el Ecuador ha tenido cierto impacto positivo gracias a la abundancia de </w:t>
      </w:r>
      <w:r w:rsidR="00F437CB">
        <w:rPr>
          <w:rFonts w:cs="Times New Roman"/>
          <w:szCs w:val="24"/>
        </w:rPr>
        <w:t>gasto público; pero este esquema empieza a agotarse a medida que las arcas fiscales se vacían como consecuencia de un proceso que no genera riqueza.</w:t>
      </w:r>
      <w:r w:rsidR="007D0D4C">
        <w:rPr>
          <w:rFonts w:cs="Times New Roman"/>
          <w:szCs w:val="24"/>
        </w:rPr>
        <w:t xml:space="preserve"> Depender de </w:t>
      </w:r>
      <w:r w:rsidR="00B87DDF">
        <w:rPr>
          <w:rFonts w:cs="Times New Roman"/>
          <w:szCs w:val="24"/>
        </w:rPr>
        <w:t xml:space="preserve">la bonanza transitoria generada por </w:t>
      </w:r>
      <w:r w:rsidR="007D0D4C">
        <w:rPr>
          <w:rFonts w:cs="Times New Roman"/>
          <w:szCs w:val="24"/>
        </w:rPr>
        <w:t xml:space="preserve">los buenos precios de los </w:t>
      </w:r>
      <w:proofErr w:type="spellStart"/>
      <w:r w:rsidR="007D0D4C">
        <w:rPr>
          <w:rFonts w:cs="Times New Roman"/>
          <w:szCs w:val="24"/>
        </w:rPr>
        <w:t>commodities</w:t>
      </w:r>
      <w:proofErr w:type="spellEnd"/>
      <w:r w:rsidR="007D0D4C">
        <w:rPr>
          <w:rFonts w:cs="Times New Roman"/>
          <w:szCs w:val="24"/>
        </w:rPr>
        <w:t xml:space="preserve"> no constituye una política acertada</w:t>
      </w:r>
      <w:r w:rsidR="00CF1670">
        <w:rPr>
          <w:rFonts w:cs="Times New Roman"/>
          <w:szCs w:val="24"/>
        </w:rPr>
        <w:t>, porque tarde</w:t>
      </w:r>
      <w:r w:rsidR="00F16B55">
        <w:rPr>
          <w:rFonts w:cs="Times New Roman"/>
          <w:szCs w:val="24"/>
        </w:rPr>
        <w:t xml:space="preserve"> o temprano el flujo se detiene y el equilibrio puede estallar en pedazos. </w:t>
      </w:r>
      <w:r w:rsidR="00CF1E63">
        <w:rPr>
          <w:rFonts w:cs="Times New Roman"/>
          <w:szCs w:val="24"/>
        </w:rPr>
        <w:t>Algo de eso amenaza con suceder en el país: algunas medidas de política económica aplicadas últimamente apuntas a extraer recursos justamente de aquellos sectores sociales que deberían beneficiarse de la protección social.</w:t>
      </w:r>
    </w:p>
    <w:p w:rsidR="0089270B" w:rsidRDefault="00CF1E63" w:rsidP="008B2909">
      <w:pPr>
        <w:autoSpaceDE w:val="0"/>
        <w:autoSpaceDN w:val="0"/>
        <w:adjustRightInd w:val="0"/>
        <w:rPr>
          <w:rFonts w:cs="Times New Roman"/>
          <w:szCs w:val="24"/>
        </w:rPr>
      </w:pPr>
      <w:r>
        <w:rPr>
          <w:rFonts w:cs="Times New Roman"/>
          <w:szCs w:val="24"/>
        </w:rPr>
        <w:tab/>
      </w:r>
      <w:r w:rsidR="00AB3F2C">
        <w:rPr>
          <w:rFonts w:cs="Times New Roman"/>
          <w:szCs w:val="24"/>
        </w:rPr>
        <w:t xml:space="preserve">La misma sugerencia de alcanzar un pacto social y fiscal queda en entredicho, porque requiere de una iniciativa clara y abierta desde el gobierno para la negociación con una variedad de actores que han permanecido relegados o excluidos. </w:t>
      </w:r>
      <w:r w:rsidR="0089270B">
        <w:rPr>
          <w:rFonts w:cs="Times New Roman"/>
          <w:szCs w:val="24"/>
        </w:rPr>
        <w:t xml:space="preserve">La política populista del correísmo parte del postulado de que no se necesita de medicaciones entre </w:t>
      </w:r>
      <w:r w:rsidR="0089270B">
        <w:rPr>
          <w:rFonts w:cs="Times New Roman"/>
          <w:szCs w:val="24"/>
        </w:rPr>
        <w:lastRenderedPageBreak/>
        <w:t>el caudillo y las masas, con lo cual no solo se anula la función de las instancias de intermediación política cuestionadas o desgastadas (partidos tradicionales, Asamblea Nacional, Consejo de Participación, gremios desprestigiados, grupos fácticos), sino que se desperdicia el potencial de muchas organizaciones y movimientos ciudadanos con propuestas e iniciativas interesantes. En este atolladero resulta inviable convocar a la ciudadanía a acordar el origen, el monto y el destino de los recursos públicos, tal como se pregona en los documentos oficiales.</w:t>
      </w:r>
    </w:p>
    <w:p w:rsidR="0089270B" w:rsidRDefault="0089270B" w:rsidP="008B2909">
      <w:pPr>
        <w:autoSpaceDE w:val="0"/>
        <w:autoSpaceDN w:val="0"/>
        <w:adjustRightInd w:val="0"/>
        <w:rPr>
          <w:rFonts w:cs="Times New Roman"/>
          <w:szCs w:val="24"/>
        </w:rPr>
      </w:pPr>
      <w:r>
        <w:rPr>
          <w:rFonts w:cs="Times New Roman"/>
          <w:szCs w:val="24"/>
        </w:rPr>
        <w:tab/>
      </w:r>
      <w:r w:rsidR="00610904">
        <w:rPr>
          <w:rFonts w:cs="Times New Roman"/>
          <w:szCs w:val="24"/>
        </w:rPr>
        <w:t>Por su parte, e</w:t>
      </w:r>
      <w:r>
        <w:rPr>
          <w:rFonts w:cs="Times New Roman"/>
          <w:szCs w:val="24"/>
        </w:rPr>
        <w:t>l tema político-electoral se vuelve crucial, sobre todo</w:t>
      </w:r>
      <w:r w:rsidR="00610904">
        <w:rPr>
          <w:rFonts w:cs="Times New Roman"/>
          <w:szCs w:val="24"/>
        </w:rPr>
        <w:t xml:space="preserve"> luego de la derrota del gobierno en las pasadas elecciones del 23 de febrero de 2014 (23-F). </w:t>
      </w:r>
      <w:r w:rsidR="001E10AC">
        <w:rPr>
          <w:rFonts w:cs="Times New Roman"/>
          <w:szCs w:val="24"/>
        </w:rPr>
        <w:t>El decrecimiento</w:t>
      </w:r>
      <w:r w:rsidR="00610904">
        <w:rPr>
          <w:rFonts w:cs="Times New Roman"/>
          <w:szCs w:val="24"/>
        </w:rPr>
        <w:t xml:space="preserve"> de </w:t>
      </w:r>
      <w:r w:rsidR="001E10AC">
        <w:rPr>
          <w:rFonts w:cs="Times New Roman"/>
          <w:szCs w:val="24"/>
        </w:rPr>
        <w:t xml:space="preserve">su </w:t>
      </w:r>
      <w:r w:rsidR="00610904">
        <w:rPr>
          <w:rFonts w:cs="Times New Roman"/>
          <w:szCs w:val="24"/>
        </w:rPr>
        <w:t>hegemonía nacional</w:t>
      </w:r>
      <w:r w:rsidR="001E10AC">
        <w:rPr>
          <w:rFonts w:cs="Times New Roman"/>
          <w:szCs w:val="24"/>
        </w:rPr>
        <w:t xml:space="preserve"> y la irrupción de fuertes contrapesos políticos (las principales ciudades del país est</w:t>
      </w:r>
      <w:r w:rsidR="00F938C8">
        <w:rPr>
          <w:rFonts w:cs="Times New Roman"/>
          <w:szCs w:val="24"/>
        </w:rPr>
        <w:t>án en manos de fuerzas no alineadas) obligarán al gobierno a ensayar respuestas más coyunturales y clientelares, a fin de preservar o recuperar su base electoral en el próximo período. Esto, en la práctica, provocará graves distorsiones en una estrategia de protección social de largo plazo.</w:t>
      </w:r>
    </w:p>
    <w:p w:rsidR="00C07EE9" w:rsidRDefault="00C07EE9" w:rsidP="008B2909">
      <w:pPr>
        <w:autoSpaceDE w:val="0"/>
        <w:autoSpaceDN w:val="0"/>
        <w:adjustRightInd w:val="0"/>
        <w:rPr>
          <w:rFonts w:cs="Times New Roman"/>
          <w:szCs w:val="24"/>
        </w:rPr>
      </w:pPr>
      <w:r>
        <w:rPr>
          <w:rFonts w:cs="Times New Roman"/>
          <w:szCs w:val="24"/>
        </w:rPr>
        <w:tab/>
        <w:t xml:space="preserve">Por otro lado, la oportunidad para una articulación productiva-social (ENIEP + ENCMP) está condicionada por el modelo de acumulación capitalista impuesto desde la lógicas globales y a las cuales el Ecuador ha plegado. Este condicionamiento sería la causa de las desavenencias al interior del mismo gobierno respecto de ciertas decisiones estratégicas. Entre ellas, la del aseguramiento universal, que </w:t>
      </w:r>
      <w:r w:rsidR="00074C10">
        <w:rPr>
          <w:rFonts w:cs="Times New Roman"/>
          <w:szCs w:val="24"/>
        </w:rPr>
        <w:t>requiere de</w:t>
      </w:r>
      <w:r>
        <w:rPr>
          <w:rFonts w:cs="Times New Roman"/>
          <w:szCs w:val="24"/>
        </w:rPr>
        <w:t xml:space="preserve"> la asignación de un elevado porcentaje del presupuesto general del  Estado para garantizar una cobertura equitativa.</w:t>
      </w:r>
      <w:r w:rsidR="00FA348B">
        <w:rPr>
          <w:rFonts w:cs="Times New Roman"/>
          <w:szCs w:val="24"/>
        </w:rPr>
        <w:t xml:space="preserve"> La disputa por estos recursos es la piedra de toq</w:t>
      </w:r>
      <w:r w:rsidR="00074C10">
        <w:rPr>
          <w:rFonts w:cs="Times New Roman"/>
          <w:szCs w:val="24"/>
        </w:rPr>
        <w:t>ue entre los grupos de  derecha</w:t>
      </w:r>
      <w:r w:rsidR="00FA348B">
        <w:rPr>
          <w:rFonts w:cs="Times New Roman"/>
          <w:szCs w:val="24"/>
        </w:rPr>
        <w:t xml:space="preserve"> mayoritarios al interior del régimen y aquellos más progresistas que aún tienen expectativas respecto del carácter “social” del proyecto político.</w:t>
      </w:r>
      <w:r w:rsidR="00074C10">
        <w:rPr>
          <w:rFonts w:cs="Times New Roman"/>
          <w:szCs w:val="24"/>
        </w:rPr>
        <w:t xml:space="preserve"> Invertir en una protección social realmente integral </w:t>
      </w:r>
      <w:r w:rsidR="00421E17">
        <w:rPr>
          <w:rFonts w:cs="Times New Roman"/>
          <w:szCs w:val="24"/>
        </w:rPr>
        <w:t xml:space="preserve">implica recortar la inversión en otros sectores de la economía alrededor de los cuales </w:t>
      </w:r>
      <w:r w:rsidR="00B811D5">
        <w:rPr>
          <w:rFonts w:cs="Times New Roman"/>
          <w:szCs w:val="24"/>
        </w:rPr>
        <w:t>están articulados</w:t>
      </w:r>
      <w:r w:rsidR="00421E17">
        <w:rPr>
          <w:rFonts w:cs="Times New Roman"/>
          <w:szCs w:val="24"/>
        </w:rPr>
        <w:t xml:space="preserve"> poderosos grupos económicos y funcionarios de gobierno.</w:t>
      </w:r>
    </w:p>
    <w:p w:rsidR="00FE6226" w:rsidRDefault="00FE6226" w:rsidP="008B2909">
      <w:pPr>
        <w:autoSpaceDE w:val="0"/>
        <w:autoSpaceDN w:val="0"/>
        <w:adjustRightInd w:val="0"/>
        <w:rPr>
          <w:rFonts w:cs="Times New Roman"/>
          <w:szCs w:val="24"/>
        </w:rPr>
      </w:pPr>
    </w:p>
    <w:p w:rsidR="00FE6226" w:rsidRDefault="00FE6226" w:rsidP="008B2909">
      <w:pPr>
        <w:autoSpaceDE w:val="0"/>
        <w:autoSpaceDN w:val="0"/>
        <w:adjustRightInd w:val="0"/>
        <w:rPr>
          <w:rFonts w:cs="Times New Roman"/>
          <w:szCs w:val="24"/>
        </w:rPr>
      </w:pPr>
    </w:p>
    <w:p w:rsidR="00FE6226" w:rsidRPr="000E7D6E" w:rsidRDefault="00FE6226" w:rsidP="008B2909">
      <w:pPr>
        <w:autoSpaceDE w:val="0"/>
        <w:autoSpaceDN w:val="0"/>
        <w:adjustRightInd w:val="0"/>
        <w:rPr>
          <w:rFonts w:cs="Times New Roman"/>
          <w:szCs w:val="24"/>
        </w:rPr>
      </w:pPr>
      <w:r>
        <w:rPr>
          <w:rFonts w:cs="Times New Roman"/>
          <w:szCs w:val="24"/>
        </w:rPr>
        <w:t>Quito, octubre 2014</w:t>
      </w:r>
    </w:p>
    <w:sectPr w:rsidR="00FE6226" w:rsidRPr="000E7D6E" w:rsidSect="00735E65">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217" w:rsidRDefault="007E4217" w:rsidP="00000CF8">
      <w:r>
        <w:separator/>
      </w:r>
    </w:p>
  </w:endnote>
  <w:endnote w:type="continuationSeparator" w:id="0">
    <w:p w:rsidR="007E4217" w:rsidRDefault="007E4217" w:rsidP="0000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al-NewswithComm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PremrPro">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846213"/>
      <w:docPartObj>
        <w:docPartGallery w:val="Page Numbers (Bottom of Page)"/>
        <w:docPartUnique/>
      </w:docPartObj>
    </w:sdtPr>
    <w:sdtEndPr/>
    <w:sdtContent>
      <w:p w:rsidR="006A447B" w:rsidRDefault="006A447B">
        <w:pPr>
          <w:pStyle w:val="Piedepgina"/>
          <w:jc w:val="center"/>
        </w:pPr>
        <w:r>
          <w:fldChar w:fldCharType="begin"/>
        </w:r>
        <w:r>
          <w:instrText>PAGE   \* MERGEFORMAT</w:instrText>
        </w:r>
        <w:r>
          <w:fldChar w:fldCharType="separate"/>
        </w:r>
        <w:r w:rsidR="003642CF" w:rsidRPr="003642CF">
          <w:rPr>
            <w:noProof/>
            <w:lang w:val="es-ES"/>
          </w:rPr>
          <w:t>12</w:t>
        </w:r>
        <w:r>
          <w:fldChar w:fldCharType="end"/>
        </w:r>
      </w:p>
    </w:sdtContent>
  </w:sdt>
  <w:p w:rsidR="006A447B" w:rsidRDefault="006A44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217" w:rsidRDefault="007E4217" w:rsidP="00000CF8">
      <w:r>
        <w:separator/>
      </w:r>
    </w:p>
  </w:footnote>
  <w:footnote w:type="continuationSeparator" w:id="0">
    <w:p w:rsidR="007E4217" w:rsidRDefault="007E4217" w:rsidP="00000CF8">
      <w:r>
        <w:continuationSeparator/>
      </w:r>
    </w:p>
  </w:footnote>
  <w:footnote w:id="1">
    <w:p w:rsidR="006A447B" w:rsidRDefault="006A447B" w:rsidP="000A68E9">
      <w:pPr>
        <w:pStyle w:val="Textonotapie"/>
        <w:ind w:left="284" w:hanging="284"/>
      </w:pPr>
      <w:r>
        <w:rPr>
          <w:rStyle w:val="Refdenotaalpie"/>
        </w:rPr>
        <w:footnoteRef/>
      </w:r>
      <w:r>
        <w:t xml:space="preserve"> </w:t>
      </w:r>
      <w:r>
        <w:tab/>
      </w:r>
      <w:proofErr w:type="spellStart"/>
      <w:r w:rsidRPr="005B037F">
        <w:t>Cecchini</w:t>
      </w:r>
      <w:proofErr w:type="spellEnd"/>
      <w:r w:rsidRPr="005B037F">
        <w:t xml:space="preserve">, S. y R. Martínez (2011), </w:t>
      </w:r>
      <w:r w:rsidRPr="005B037F">
        <w:rPr>
          <w:i/>
        </w:rPr>
        <w:t>Protección social inclusiva en América Latina. Una mirada integral, un enfoque de derechos</w:t>
      </w:r>
      <w:r>
        <w:t>,</w:t>
      </w:r>
      <w:r w:rsidRPr="005B037F">
        <w:t xml:space="preserve"> Comisión Económica para Amé</w:t>
      </w:r>
      <w:r>
        <w:t>rica Latina y el Caribe (CEPAL)</w:t>
      </w:r>
      <w:r w:rsidRPr="005B037F">
        <w:t>, Santiago de Chile</w:t>
      </w:r>
      <w:r>
        <w:t xml:space="preserve"> 2011.</w:t>
      </w:r>
    </w:p>
  </w:footnote>
  <w:footnote w:id="2">
    <w:p w:rsidR="006A447B" w:rsidRDefault="006A447B" w:rsidP="000A68E9">
      <w:pPr>
        <w:pStyle w:val="Textonotapie"/>
        <w:ind w:left="284" w:hanging="284"/>
      </w:pPr>
      <w:r>
        <w:rPr>
          <w:rStyle w:val="Refdenotaalpie"/>
        </w:rPr>
        <w:footnoteRef/>
      </w:r>
      <w:r>
        <w:t xml:space="preserve"> </w:t>
      </w:r>
      <w:r>
        <w:tab/>
      </w:r>
      <w:r w:rsidRPr="00837579">
        <w:t>Oficina Internacional del Trabajo</w:t>
      </w:r>
      <w:r>
        <w:t>,</w:t>
      </w:r>
      <w:r w:rsidRPr="00837579">
        <w:t xml:space="preserve"> </w:t>
      </w:r>
      <w:r w:rsidRPr="00837579">
        <w:rPr>
          <w:i/>
        </w:rPr>
        <w:t>Piso de Protección Social para una globalización equitativa e inclusiva. Informe del Grupo consultivo sobre el Piso de Protección Social</w:t>
      </w:r>
      <w:r>
        <w:t>,</w:t>
      </w:r>
      <w:r w:rsidRPr="00837579">
        <w:t xml:space="preserve"> Ginebra, , 2011</w:t>
      </w:r>
    </w:p>
  </w:footnote>
  <w:footnote w:id="3">
    <w:p w:rsidR="006A447B" w:rsidRPr="00CB6565" w:rsidRDefault="006A447B" w:rsidP="000A68E9">
      <w:pPr>
        <w:pStyle w:val="Textonotapie"/>
        <w:ind w:left="284" w:hanging="284"/>
        <w:contextualSpacing/>
      </w:pPr>
      <w:r>
        <w:rPr>
          <w:rStyle w:val="Refdenotaalpie"/>
        </w:rPr>
        <w:footnoteRef/>
      </w:r>
      <w:r>
        <w:t xml:space="preserve"> </w:t>
      </w:r>
      <w:r>
        <w:tab/>
        <w:t xml:space="preserve">Dávalos, Pablo, </w:t>
      </w:r>
      <w:r>
        <w:rPr>
          <w:i/>
        </w:rPr>
        <w:t>Concentración y centralización de capital en el sector salud. El caso del Ecuador 2006-2010</w:t>
      </w:r>
      <w:r>
        <w:t>, Instituto de Salud Pública-PUCE, Quito 2011 (no publicado).</w:t>
      </w:r>
    </w:p>
  </w:footnote>
  <w:footnote w:id="4">
    <w:p w:rsidR="006A447B" w:rsidRDefault="006A447B" w:rsidP="000A68E9">
      <w:pPr>
        <w:pStyle w:val="Textonotapie"/>
        <w:ind w:left="284" w:hanging="284"/>
      </w:pPr>
      <w:r>
        <w:rPr>
          <w:rStyle w:val="Refdenotaalpie"/>
        </w:rPr>
        <w:footnoteRef/>
      </w:r>
      <w:r>
        <w:t xml:space="preserve"> </w:t>
      </w:r>
      <w:r w:rsidR="000A68E9">
        <w:tab/>
      </w:r>
      <w:r>
        <w:t>CEPAL….</w:t>
      </w:r>
    </w:p>
  </w:footnote>
  <w:footnote w:id="5">
    <w:p w:rsidR="006A447B" w:rsidRDefault="006A447B" w:rsidP="000A68E9">
      <w:pPr>
        <w:pStyle w:val="Textonotapie"/>
        <w:ind w:left="284" w:hanging="284"/>
      </w:pPr>
      <w:r>
        <w:rPr>
          <w:rStyle w:val="Refdenotaalpie"/>
        </w:rPr>
        <w:footnoteRef/>
      </w:r>
      <w:r>
        <w:t xml:space="preserve"> </w:t>
      </w:r>
      <w:r w:rsidR="000A68E9">
        <w:tab/>
      </w:r>
      <w:r>
        <w:t>Ver la</w:t>
      </w:r>
      <w:r w:rsidR="000357ED">
        <w:t>s</w:t>
      </w:r>
      <w:r>
        <w:t xml:space="preserve"> invest</w:t>
      </w:r>
      <w:r w:rsidR="000357ED">
        <w:t>igaciones</w:t>
      </w:r>
      <w:r w:rsidR="00C71901">
        <w:t xml:space="preserve"> de </w:t>
      </w:r>
      <w:r w:rsidR="00136F39">
        <w:t>Dávalos</w:t>
      </w:r>
      <w:r w:rsidR="00C71901">
        <w:t xml:space="preserve">, Pablo, Concentración y centralización de capital en el sector salud. El caso del Ecuador 2006-2010, Instituto de Salud Pública, Pontificia Universidad Católica del Ecuador, </w:t>
      </w:r>
      <w:r w:rsidR="000357ED">
        <w:t>Quito, diciembre de 2011 (documento inédito);</w:t>
      </w:r>
      <w:r w:rsidR="00136F39">
        <w:t xml:space="preserve"> y Revista Economía No. 102, Balance del Sumak Kawsay en el gobierno de Rafael Correa, </w:t>
      </w:r>
      <w:r w:rsidR="00E97E74">
        <w:t xml:space="preserve">Instituto de Investigaciones y Posgrado, Facultad de Ciencias Económicas de la </w:t>
      </w:r>
      <w:r w:rsidR="00136F39">
        <w:t>Universidad Central del Ecuador</w:t>
      </w:r>
      <w:r w:rsidR="00E97E74">
        <w:t>, Quito, abril 2013.</w:t>
      </w:r>
    </w:p>
  </w:footnote>
  <w:footnote w:id="6">
    <w:p w:rsidR="006A447B" w:rsidRDefault="006A447B" w:rsidP="000A68E9">
      <w:pPr>
        <w:pStyle w:val="Textonotapie"/>
        <w:ind w:left="284" w:hanging="284"/>
      </w:pPr>
      <w:r>
        <w:rPr>
          <w:rStyle w:val="Refdenotaalpie"/>
        </w:rPr>
        <w:footnoteRef/>
      </w:r>
      <w:r>
        <w:t xml:space="preserve"> </w:t>
      </w:r>
      <w:r w:rsidR="000A68E9">
        <w:tab/>
      </w:r>
      <w:r>
        <w:t>Es cierto que una buena parte de este incremento se debió a que, además del grupo de madres de familia, se incluyó a los adultos mayores y a las personas con discapacidad. Pero también es cierto que ha sido imposible reducir el número de beneficiarios.</w:t>
      </w:r>
    </w:p>
  </w:footnote>
  <w:footnote w:id="7">
    <w:p w:rsidR="006A447B" w:rsidRDefault="006A447B" w:rsidP="000A68E9">
      <w:pPr>
        <w:pStyle w:val="Textonotapie"/>
        <w:ind w:left="284" w:hanging="284"/>
      </w:pPr>
      <w:r>
        <w:rPr>
          <w:rStyle w:val="Refdenotaalpie"/>
        </w:rPr>
        <w:footnoteRef/>
      </w:r>
      <w:r>
        <w:t xml:space="preserve"> </w:t>
      </w:r>
      <w:r w:rsidR="000A68E9">
        <w:tab/>
      </w:r>
      <w:r>
        <w:t xml:space="preserve">CEPAL, </w:t>
      </w:r>
      <w:proofErr w:type="spellStart"/>
      <w:r>
        <w:t>pag</w:t>
      </w:r>
      <w:proofErr w:type="spellEnd"/>
      <w:r>
        <w:t>. 15.</w:t>
      </w:r>
    </w:p>
  </w:footnote>
  <w:footnote w:id="8">
    <w:p w:rsidR="006A447B" w:rsidRDefault="006A447B" w:rsidP="000A68E9">
      <w:pPr>
        <w:pStyle w:val="Textonotapie"/>
        <w:ind w:left="284" w:hanging="284"/>
      </w:pPr>
      <w:r>
        <w:rPr>
          <w:rStyle w:val="Refdenotaalpie"/>
        </w:rPr>
        <w:footnoteRef/>
      </w:r>
      <w:r>
        <w:t xml:space="preserve"> </w:t>
      </w:r>
      <w:r w:rsidR="00906953">
        <w:tab/>
      </w:r>
      <w:r>
        <w:t>F. Muñoz….</w:t>
      </w:r>
    </w:p>
  </w:footnote>
  <w:footnote w:id="9">
    <w:p w:rsidR="006A447B" w:rsidRDefault="006A447B" w:rsidP="000A68E9">
      <w:pPr>
        <w:pStyle w:val="Textonotapie"/>
        <w:ind w:left="284" w:hanging="284"/>
      </w:pPr>
      <w:r>
        <w:rPr>
          <w:rStyle w:val="Refdenotaalpie"/>
        </w:rPr>
        <w:footnoteRef/>
      </w:r>
      <w:r w:rsidR="00662FF3">
        <w:t xml:space="preserve"> </w:t>
      </w:r>
      <w:r w:rsidR="00906953">
        <w:tab/>
      </w:r>
      <w:r w:rsidR="00662FF3">
        <w:t>Revista Vistazo, No. 1130, septiembre 25 de 2014.</w:t>
      </w:r>
    </w:p>
  </w:footnote>
  <w:footnote w:id="10">
    <w:p w:rsidR="006A447B" w:rsidRDefault="006A447B" w:rsidP="000A68E9">
      <w:pPr>
        <w:pStyle w:val="Textonotapie"/>
        <w:ind w:left="284" w:hanging="284"/>
      </w:pPr>
      <w:r>
        <w:rPr>
          <w:rStyle w:val="Refdenotaalpie"/>
        </w:rPr>
        <w:footnoteRef/>
      </w:r>
      <w:r>
        <w:t xml:space="preserve"> </w:t>
      </w:r>
      <w:r w:rsidR="00906953">
        <w:tab/>
      </w:r>
      <w:r>
        <w:t xml:space="preserve">CEPAL, </w:t>
      </w:r>
      <w:proofErr w:type="spellStart"/>
      <w:r>
        <w:t>pag</w:t>
      </w:r>
      <w:proofErr w:type="spellEnd"/>
      <w:r>
        <w:t>. 23</w:t>
      </w:r>
    </w:p>
  </w:footnote>
  <w:footnote w:id="11">
    <w:p w:rsidR="006A447B" w:rsidRDefault="006A447B" w:rsidP="000A68E9">
      <w:pPr>
        <w:pStyle w:val="Textonotapie"/>
        <w:ind w:left="284" w:hanging="284"/>
      </w:pPr>
      <w:r>
        <w:rPr>
          <w:rStyle w:val="Refdenotaalpie"/>
        </w:rPr>
        <w:footnoteRef/>
      </w:r>
      <w:r>
        <w:t xml:space="preserve"> </w:t>
      </w:r>
      <w:r w:rsidR="00906953">
        <w:tab/>
      </w:r>
      <w:r>
        <w:t>P. Dávalos.</w:t>
      </w:r>
    </w:p>
  </w:footnote>
  <w:footnote w:id="12">
    <w:p w:rsidR="006A447B" w:rsidRDefault="006A447B" w:rsidP="000A68E9">
      <w:pPr>
        <w:pStyle w:val="Textonotapie"/>
        <w:ind w:left="284" w:hanging="284"/>
      </w:pPr>
      <w:r>
        <w:rPr>
          <w:rStyle w:val="Refdenotaalpie"/>
        </w:rPr>
        <w:footnoteRef/>
      </w:r>
      <w:r>
        <w:t xml:space="preserve"> </w:t>
      </w:r>
      <w:r w:rsidR="00906953">
        <w:tab/>
      </w:r>
      <w:r>
        <w:t xml:space="preserve">CEPAL, </w:t>
      </w:r>
      <w:proofErr w:type="spellStart"/>
      <w:r>
        <w:t>pag</w:t>
      </w:r>
      <w:proofErr w:type="spellEnd"/>
      <w:r>
        <w:t>. 24.</w:t>
      </w:r>
    </w:p>
  </w:footnote>
  <w:footnote w:id="13">
    <w:p w:rsidR="006A447B" w:rsidRDefault="006A447B" w:rsidP="000A68E9">
      <w:pPr>
        <w:pStyle w:val="Textonotapie"/>
        <w:ind w:left="284" w:hanging="284"/>
      </w:pPr>
      <w:r>
        <w:rPr>
          <w:rStyle w:val="Refdenotaalpie"/>
        </w:rPr>
        <w:footnoteRef/>
      </w:r>
      <w:r>
        <w:t xml:space="preserve"> </w:t>
      </w:r>
      <w:r w:rsidR="0028215C">
        <w:tab/>
      </w:r>
      <w:r>
        <w:t>Basta ver los efectos provocados en México y, más recientemente, en Colombia, y que han sido ampliamente documentados. No hay que olvidar que el TLC suscrito por Ecuador es una adhesión al TLC firmado por Colombia y Perú.</w:t>
      </w:r>
    </w:p>
  </w:footnote>
  <w:footnote w:id="14">
    <w:p w:rsidR="006A447B" w:rsidRDefault="006A447B" w:rsidP="000A68E9">
      <w:pPr>
        <w:pStyle w:val="Textonotapie"/>
        <w:ind w:left="284" w:hanging="284"/>
      </w:pPr>
      <w:r>
        <w:rPr>
          <w:rStyle w:val="Refdenotaalpie"/>
        </w:rPr>
        <w:footnoteRef/>
      </w:r>
      <w:r>
        <w:t xml:space="preserve"> </w:t>
      </w:r>
      <w:r w:rsidR="0028215C">
        <w:tab/>
      </w:r>
      <w:r>
        <w:t xml:space="preserve">CEPAL, </w:t>
      </w:r>
      <w:proofErr w:type="spellStart"/>
      <w:r>
        <w:t>pag</w:t>
      </w:r>
      <w:proofErr w:type="spellEnd"/>
      <w:r>
        <w:t>. 35.</w:t>
      </w:r>
    </w:p>
  </w:footnote>
  <w:footnote w:id="15">
    <w:p w:rsidR="006A447B" w:rsidRDefault="006A447B" w:rsidP="000A68E9">
      <w:pPr>
        <w:pStyle w:val="Textonotapie"/>
        <w:ind w:left="284" w:hanging="284"/>
      </w:pPr>
      <w:r>
        <w:rPr>
          <w:rStyle w:val="Refdenotaalpie"/>
        </w:rPr>
        <w:footnoteRef/>
      </w:r>
      <w:r>
        <w:t xml:space="preserve"> </w:t>
      </w:r>
      <w:r w:rsidR="0028215C">
        <w:tab/>
      </w:r>
      <w:r>
        <w:t>CEPAL</w:t>
      </w:r>
      <w:proofErr w:type="gramStart"/>
      <w:r>
        <w:t>,,</w:t>
      </w:r>
      <w:proofErr w:type="gramEnd"/>
      <w:r>
        <w:t xml:space="preserve"> </w:t>
      </w:r>
      <w:proofErr w:type="spellStart"/>
      <w:r>
        <w:t>pag</w:t>
      </w:r>
      <w:proofErr w:type="spellEnd"/>
      <w:r>
        <w:t>. 36.</w:t>
      </w:r>
    </w:p>
  </w:footnote>
  <w:footnote w:id="16">
    <w:p w:rsidR="006A447B" w:rsidRDefault="006A447B" w:rsidP="000A68E9">
      <w:pPr>
        <w:pStyle w:val="Textonotapie"/>
        <w:ind w:left="284" w:hanging="284"/>
      </w:pPr>
      <w:r>
        <w:rPr>
          <w:rStyle w:val="Refdenotaalpie"/>
        </w:rPr>
        <w:footnoteRef/>
      </w:r>
      <w:r>
        <w:t xml:space="preserve"> </w:t>
      </w:r>
      <w:r w:rsidR="0028215C">
        <w:tab/>
      </w:r>
      <w:r>
        <w:t xml:space="preserve">Ver el cuadro de asistencia en la </w:t>
      </w:r>
      <w:proofErr w:type="spellStart"/>
      <w:r>
        <w:t>pag</w:t>
      </w:r>
      <w:proofErr w:type="spellEnd"/>
      <w:r>
        <w:t>. 50 del  documento de la CEPAL.</w:t>
      </w:r>
    </w:p>
  </w:footnote>
  <w:footnote w:id="17">
    <w:p w:rsidR="006A447B" w:rsidRPr="00B47199" w:rsidRDefault="006A447B" w:rsidP="000A68E9">
      <w:pPr>
        <w:pStyle w:val="Textonotapie"/>
        <w:ind w:left="284" w:hanging="284"/>
      </w:pPr>
      <w:r w:rsidRPr="00B47199">
        <w:rPr>
          <w:rStyle w:val="Refdenotaalpie"/>
        </w:rPr>
        <w:footnoteRef/>
      </w:r>
      <w:r w:rsidRPr="00B47199">
        <w:t xml:space="preserve"> </w:t>
      </w:r>
      <w:r w:rsidR="0028215C">
        <w:tab/>
      </w:r>
      <w:r w:rsidRPr="00B47199">
        <w:t>Para este punto hay que analizar el Código Orgánico de Organización Territorial, Autonomía y Descentralización (COOTAD).</w:t>
      </w:r>
    </w:p>
  </w:footnote>
  <w:footnote w:id="18">
    <w:p w:rsidR="006A447B" w:rsidRDefault="006A447B" w:rsidP="000A68E9">
      <w:pPr>
        <w:pStyle w:val="Textonotapie"/>
        <w:ind w:left="284" w:hanging="284"/>
      </w:pPr>
      <w:r>
        <w:rPr>
          <w:rStyle w:val="Refdenotaalpie"/>
        </w:rPr>
        <w:footnoteRef/>
      </w:r>
      <w:r>
        <w:t xml:space="preserve"> </w:t>
      </w:r>
      <w:r w:rsidR="0028215C">
        <w:tab/>
      </w:r>
      <w:r>
        <w:t xml:space="preserve">“Las principales actividades económicas están concentradas en pocas empresas: el 81% del mercado de bebidas no alcohólicas está en manos de una empresa, una empresa por igual controla el 62% del mercado de la carne, cinco ingenios (con tan solo tres dueños) controlan el 91% del mercado del azúcar, dos empresas el 92% del mercado del aceite, dos empresas controlan el 76% del mercado de los productos de higiene…”. Acosta, Alberto y otros, El país que </w:t>
      </w:r>
      <w:r w:rsidR="003642CF">
        <w:t xml:space="preserve">queríamos, Montecristi Vive, </w:t>
      </w:r>
      <w:r w:rsidR="003642CF">
        <w:t>Qu</w:t>
      </w:r>
      <w:bookmarkStart w:id="0" w:name="_GoBack"/>
      <w:bookmarkEnd w:id="0"/>
      <w:r>
        <w:t>ito, 2013, p. 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B5053"/>
    <w:multiLevelType w:val="hybridMultilevel"/>
    <w:tmpl w:val="44026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F6F3F83"/>
    <w:multiLevelType w:val="hybridMultilevel"/>
    <w:tmpl w:val="31E6AC96"/>
    <w:lvl w:ilvl="0" w:tplc="A8A68F2E">
      <w:numFmt w:val="bullet"/>
      <w:lvlText w:val=""/>
      <w:lvlJc w:val="left"/>
      <w:pPr>
        <w:ind w:left="720" w:hanging="360"/>
      </w:pPr>
      <w:rPr>
        <w:rFonts w:ascii="Symbol" w:eastAsia="Calibri" w:hAnsi="Symbol" w:cs="Universal-NewswithCommP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19F03C3B"/>
    <w:multiLevelType w:val="hybridMultilevel"/>
    <w:tmpl w:val="FC8C3D92"/>
    <w:lvl w:ilvl="0" w:tplc="9F003EEA">
      <w:numFmt w:val="bullet"/>
      <w:lvlText w:val=""/>
      <w:lvlJc w:val="left"/>
      <w:pPr>
        <w:ind w:left="720" w:hanging="360"/>
      </w:pPr>
      <w:rPr>
        <w:rFonts w:ascii="Wingdings" w:eastAsia="Calibri"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79E62E4B"/>
    <w:multiLevelType w:val="hybridMultilevel"/>
    <w:tmpl w:val="92181E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7ADF18A1"/>
    <w:multiLevelType w:val="hybridMultilevel"/>
    <w:tmpl w:val="414C52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83"/>
    <w:rsid w:val="00000CF8"/>
    <w:rsid w:val="0001568B"/>
    <w:rsid w:val="00022706"/>
    <w:rsid w:val="000357ED"/>
    <w:rsid w:val="00040E05"/>
    <w:rsid w:val="000449F9"/>
    <w:rsid w:val="000532BD"/>
    <w:rsid w:val="00055CE3"/>
    <w:rsid w:val="00074C10"/>
    <w:rsid w:val="00091027"/>
    <w:rsid w:val="000A68E9"/>
    <w:rsid w:val="000B1914"/>
    <w:rsid w:val="000B3694"/>
    <w:rsid w:val="000C3812"/>
    <w:rsid w:val="000C59D5"/>
    <w:rsid w:val="000D5A21"/>
    <w:rsid w:val="000E0198"/>
    <w:rsid w:val="000E6BB6"/>
    <w:rsid w:val="000E7D6E"/>
    <w:rsid w:val="001009EA"/>
    <w:rsid w:val="00132388"/>
    <w:rsid w:val="00136F39"/>
    <w:rsid w:val="001374FF"/>
    <w:rsid w:val="001378C9"/>
    <w:rsid w:val="001442EC"/>
    <w:rsid w:val="00146F3D"/>
    <w:rsid w:val="00160CD6"/>
    <w:rsid w:val="00161F72"/>
    <w:rsid w:val="00164685"/>
    <w:rsid w:val="00184DDE"/>
    <w:rsid w:val="0019039B"/>
    <w:rsid w:val="001D7CBE"/>
    <w:rsid w:val="001E10AC"/>
    <w:rsid w:val="001E25E5"/>
    <w:rsid w:val="001E3984"/>
    <w:rsid w:val="001E3A64"/>
    <w:rsid w:val="001E4B80"/>
    <w:rsid w:val="001E791B"/>
    <w:rsid w:val="001F264B"/>
    <w:rsid w:val="001F5637"/>
    <w:rsid w:val="00201F82"/>
    <w:rsid w:val="0028215C"/>
    <w:rsid w:val="0028691F"/>
    <w:rsid w:val="002B0CBE"/>
    <w:rsid w:val="002B655F"/>
    <w:rsid w:val="002D154A"/>
    <w:rsid w:val="002E0E14"/>
    <w:rsid w:val="002F3BDA"/>
    <w:rsid w:val="00307F39"/>
    <w:rsid w:val="00314EAD"/>
    <w:rsid w:val="00316794"/>
    <w:rsid w:val="00333706"/>
    <w:rsid w:val="00345330"/>
    <w:rsid w:val="00351A7D"/>
    <w:rsid w:val="003642CF"/>
    <w:rsid w:val="00380722"/>
    <w:rsid w:val="00382876"/>
    <w:rsid w:val="003B2442"/>
    <w:rsid w:val="003D56B7"/>
    <w:rsid w:val="003D6E6B"/>
    <w:rsid w:val="004110B3"/>
    <w:rsid w:val="004203CD"/>
    <w:rsid w:val="00421E17"/>
    <w:rsid w:val="00426F2A"/>
    <w:rsid w:val="00433479"/>
    <w:rsid w:val="0043656C"/>
    <w:rsid w:val="0045402C"/>
    <w:rsid w:val="004810E3"/>
    <w:rsid w:val="0048146D"/>
    <w:rsid w:val="004C2FDA"/>
    <w:rsid w:val="005114E7"/>
    <w:rsid w:val="00515F9A"/>
    <w:rsid w:val="00516BE6"/>
    <w:rsid w:val="005445A1"/>
    <w:rsid w:val="0055312F"/>
    <w:rsid w:val="00555B75"/>
    <w:rsid w:val="00566934"/>
    <w:rsid w:val="00574E09"/>
    <w:rsid w:val="00586296"/>
    <w:rsid w:val="005B037F"/>
    <w:rsid w:val="005B05F9"/>
    <w:rsid w:val="005B3429"/>
    <w:rsid w:val="005F4985"/>
    <w:rsid w:val="00601184"/>
    <w:rsid w:val="006022BF"/>
    <w:rsid w:val="00610904"/>
    <w:rsid w:val="006175DB"/>
    <w:rsid w:val="00617CA2"/>
    <w:rsid w:val="00621229"/>
    <w:rsid w:val="00630629"/>
    <w:rsid w:val="00642D3A"/>
    <w:rsid w:val="006465B6"/>
    <w:rsid w:val="00662FF3"/>
    <w:rsid w:val="00666CAF"/>
    <w:rsid w:val="00670789"/>
    <w:rsid w:val="00680F21"/>
    <w:rsid w:val="006A447B"/>
    <w:rsid w:val="006A72CB"/>
    <w:rsid w:val="006C28E6"/>
    <w:rsid w:val="006D22DE"/>
    <w:rsid w:val="006D6224"/>
    <w:rsid w:val="006F795C"/>
    <w:rsid w:val="00701B00"/>
    <w:rsid w:val="00706E62"/>
    <w:rsid w:val="007133B1"/>
    <w:rsid w:val="00713981"/>
    <w:rsid w:val="0072203C"/>
    <w:rsid w:val="007315FC"/>
    <w:rsid w:val="00735E65"/>
    <w:rsid w:val="00737348"/>
    <w:rsid w:val="00741674"/>
    <w:rsid w:val="00764E83"/>
    <w:rsid w:val="00766B9C"/>
    <w:rsid w:val="00774D33"/>
    <w:rsid w:val="00785E4F"/>
    <w:rsid w:val="007867B2"/>
    <w:rsid w:val="007878C5"/>
    <w:rsid w:val="007B2F39"/>
    <w:rsid w:val="007C27A0"/>
    <w:rsid w:val="007C6194"/>
    <w:rsid w:val="007C6E8C"/>
    <w:rsid w:val="007D0D4C"/>
    <w:rsid w:val="007D5454"/>
    <w:rsid w:val="007D6F65"/>
    <w:rsid w:val="007E4217"/>
    <w:rsid w:val="007E6B42"/>
    <w:rsid w:val="00800BC9"/>
    <w:rsid w:val="0081320E"/>
    <w:rsid w:val="00813373"/>
    <w:rsid w:val="008156E5"/>
    <w:rsid w:val="0082329A"/>
    <w:rsid w:val="00830F04"/>
    <w:rsid w:val="00837579"/>
    <w:rsid w:val="00856EC0"/>
    <w:rsid w:val="00866C63"/>
    <w:rsid w:val="008703FD"/>
    <w:rsid w:val="008877DA"/>
    <w:rsid w:val="00890A41"/>
    <w:rsid w:val="0089270B"/>
    <w:rsid w:val="008B2909"/>
    <w:rsid w:val="008B3F72"/>
    <w:rsid w:val="00906953"/>
    <w:rsid w:val="00907DF9"/>
    <w:rsid w:val="0091031F"/>
    <w:rsid w:val="00944A63"/>
    <w:rsid w:val="00944F5D"/>
    <w:rsid w:val="00947421"/>
    <w:rsid w:val="00965168"/>
    <w:rsid w:val="0096781D"/>
    <w:rsid w:val="00981063"/>
    <w:rsid w:val="009967D8"/>
    <w:rsid w:val="009C2208"/>
    <w:rsid w:val="009C2AAC"/>
    <w:rsid w:val="009D0732"/>
    <w:rsid w:val="009D40BC"/>
    <w:rsid w:val="00A005F0"/>
    <w:rsid w:val="00A275B4"/>
    <w:rsid w:val="00A4004F"/>
    <w:rsid w:val="00A575B9"/>
    <w:rsid w:val="00A6456A"/>
    <w:rsid w:val="00A837B8"/>
    <w:rsid w:val="00A91073"/>
    <w:rsid w:val="00A966F9"/>
    <w:rsid w:val="00A96867"/>
    <w:rsid w:val="00AB3F2C"/>
    <w:rsid w:val="00AC0432"/>
    <w:rsid w:val="00AC1C74"/>
    <w:rsid w:val="00AD63D4"/>
    <w:rsid w:val="00AF47C5"/>
    <w:rsid w:val="00AF7A3D"/>
    <w:rsid w:val="00AF7B7A"/>
    <w:rsid w:val="00B0691D"/>
    <w:rsid w:val="00B43C6C"/>
    <w:rsid w:val="00B72B83"/>
    <w:rsid w:val="00B811D5"/>
    <w:rsid w:val="00B87DDF"/>
    <w:rsid w:val="00B904BB"/>
    <w:rsid w:val="00BC03CF"/>
    <w:rsid w:val="00BC1F53"/>
    <w:rsid w:val="00BD5060"/>
    <w:rsid w:val="00C074DA"/>
    <w:rsid w:val="00C07EE9"/>
    <w:rsid w:val="00C10B36"/>
    <w:rsid w:val="00C22625"/>
    <w:rsid w:val="00C3380C"/>
    <w:rsid w:val="00C338B5"/>
    <w:rsid w:val="00C45E7F"/>
    <w:rsid w:val="00C530EF"/>
    <w:rsid w:val="00C71901"/>
    <w:rsid w:val="00C74554"/>
    <w:rsid w:val="00C75E0C"/>
    <w:rsid w:val="00C85A1C"/>
    <w:rsid w:val="00C97DB9"/>
    <w:rsid w:val="00CA0AC1"/>
    <w:rsid w:val="00CA62D4"/>
    <w:rsid w:val="00CB6565"/>
    <w:rsid w:val="00CD54E4"/>
    <w:rsid w:val="00CE0330"/>
    <w:rsid w:val="00CE194F"/>
    <w:rsid w:val="00CE4DB6"/>
    <w:rsid w:val="00CF1670"/>
    <w:rsid w:val="00CF1E63"/>
    <w:rsid w:val="00D32507"/>
    <w:rsid w:val="00D429F9"/>
    <w:rsid w:val="00D55B90"/>
    <w:rsid w:val="00D56D7B"/>
    <w:rsid w:val="00D7570F"/>
    <w:rsid w:val="00D926CB"/>
    <w:rsid w:val="00D973A5"/>
    <w:rsid w:val="00DA329D"/>
    <w:rsid w:val="00DC0026"/>
    <w:rsid w:val="00DC5F16"/>
    <w:rsid w:val="00DC60B5"/>
    <w:rsid w:val="00DD342D"/>
    <w:rsid w:val="00DF16BA"/>
    <w:rsid w:val="00DF47B0"/>
    <w:rsid w:val="00E002E2"/>
    <w:rsid w:val="00E25496"/>
    <w:rsid w:val="00E56615"/>
    <w:rsid w:val="00E67EF5"/>
    <w:rsid w:val="00E7497B"/>
    <w:rsid w:val="00E97E74"/>
    <w:rsid w:val="00EA025F"/>
    <w:rsid w:val="00EE663E"/>
    <w:rsid w:val="00EE66AF"/>
    <w:rsid w:val="00EF61F4"/>
    <w:rsid w:val="00F14E95"/>
    <w:rsid w:val="00F16B55"/>
    <w:rsid w:val="00F2383C"/>
    <w:rsid w:val="00F31041"/>
    <w:rsid w:val="00F4193A"/>
    <w:rsid w:val="00F42D6B"/>
    <w:rsid w:val="00F437CB"/>
    <w:rsid w:val="00F567BF"/>
    <w:rsid w:val="00F6085E"/>
    <w:rsid w:val="00F727CE"/>
    <w:rsid w:val="00F72FB0"/>
    <w:rsid w:val="00F938C8"/>
    <w:rsid w:val="00FA2077"/>
    <w:rsid w:val="00FA348B"/>
    <w:rsid w:val="00FA5ED6"/>
    <w:rsid w:val="00FA6E57"/>
    <w:rsid w:val="00FC146D"/>
    <w:rsid w:val="00FD7878"/>
    <w:rsid w:val="00FE4C70"/>
    <w:rsid w:val="00FE6226"/>
    <w:rsid w:val="00FE762B"/>
    <w:rsid w:val="00FF051E"/>
    <w:rsid w:val="00FF1055"/>
  </w:rsids>
  <m:mathPr>
    <m:mathFont m:val="Cambria Math"/>
    <m:brkBin m:val="before"/>
    <m:brkBinSub m:val="--"/>
    <m:smallFrac m:val="0"/>
    <m:dispDef/>
    <m:lMargin m:val="0"/>
    <m:rMargin m:val="0"/>
    <m:defJc m:val="centerGroup"/>
    <m:wrapIndent m:val="1440"/>
    <m:intLim m:val="subSup"/>
    <m:naryLim m:val="undOvr"/>
  </m:mathPr>
  <w:themeFontLang w:val="es-EC"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97B64-7C0A-4C0A-B135-49A9381F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EC"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7A3D"/>
    <w:pPr>
      <w:ind w:left="708"/>
      <w:jc w:val="left"/>
    </w:pPr>
    <w:rPr>
      <w:rFonts w:eastAsia="Times New Roman" w:cs="Times New Roman"/>
      <w:szCs w:val="24"/>
      <w:lang w:val="es-BO" w:eastAsia="es-BO"/>
    </w:rPr>
  </w:style>
  <w:style w:type="paragraph" w:styleId="Textonotapie">
    <w:name w:val="footnote text"/>
    <w:basedOn w:val="Normal"/>
    <w:link w:val="TextonotapieCar"/>
    <w:uiPriority w:val="99"/>
    <w:unhideWhenUsed/>
    <w:rsid w:val="00000CF8"/>
    <w:rPr>
      <w:sz w:val="20"/>
      <w:szCs w:val="20"/>
    </w:rPr>
  </w:style>
  <w:style w:type="character" w:customStyle="1" w:styleId="TextonotapieCar">
    <w:name w:val="Texto nota pie Car"/>
    <w:basedOn w:val="Fuentedeprrafopredeter"/>
    <w:link w:val="Textonotapie"/>
    <w:uiPriority w:val="99"/>
    <w:rsid w:val="00000CF8"/>
    <w:rPr>
      <w:sz w:val="20"/>
      <w:szCs w:val="20"/>
    </w:rPr>
  </w:style>
  <w:style w:type="character" w:styleId="Refdenotaalpie">
    <w:name w:val="footnote reference"/>
    <w:basedOn w:val="Fuentedeprrafopredeter"/>
    <w:uiPriority w:val="99"/>
    <w:unhideWhenUsed/>
    <w:rsid w:val="00000CF8"/>
    <w:rPr>
      <w:vertAlign w:val="superscript"/>
    </w:rPr>
  </w:style>
  <w:style w:type="character" w:customStyle="1" w:styleId="style7">
    <w:name w:val="style7"/>
    <w:basedOn w:val="Fuentedeprrafopredeter"/>
    <w:rsid w:val="002D154A"/>
  </w:style>
  <w:style w:type="paragraph" w:styleId="Encabezado">
    <w:name w:val="header"/>
    <w:basedOn w:val="Normal"/>
    <w:link w:val="EncabezadoCar"/>
    <w:uiPriority w:val="99"/>
    <w:unhideWhenUsed/>
    <w:rsid w:val="00735E65"/>
    <w:pPr>
      <w:tabs>
        <w:tab w:val="center" w:pos="4252"/>
        <w:tab w:val="right" w:pos="8504"/>
      </w:tabs>
    </w:pPr>
  </w:style>
  <w:style w:type="character" w:customStyle="1" w:styleId="EncabezadoCar">
    <w:name w:val="Encabezado Car"/>
    <w:basedOn w:val="Fuentedeprrafopredeter"/>
    <w:link w:val="Encabezado"/>
    <w:uiPriority w:val="99"/>
    <w:rsid w:val="00735E65"/>
  </w:style>
  <w:style w:type="paragraph" w:styleId="Piedepgina">
    <w:name w:val="footer"/>
    <w:basedOn w:val="Normal"/>
    <w:link w:val="PiedepginaCar"/>
    <w:uiPriority w:val="99"/>
    <w:unhideWhenUsed/>
    <w:rsid w:val="00735E65"/>
    <w:pPr>
      <w:tabs>
        <w:tab w:val="center" w:pos="4252"/>
        <w:tab w:val="right" w:pos="8504"/>
      </w:tabs>
    </w:pPr>
  </w:style>
  <w:style w:type="character" w:customStyle="1" w:styleId="PiedepginaCar">
    <w:name w:val="Pie de página Car"/>
    <w:basedOn w:val="Fuentedeprrafopredeter"/>
    <w:link w:val="Piedepgina"/>
    <w:uiPriority w:val="99"/>
    <w:rsid w:val="0073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CDDB3-B7E2-4417-9013-D73E1481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12</Pages>
  <Words>6083</Words>
  <Characters>33459</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cuvi</dc:creator>
  <cp:keywords/>
  <dc:description/>
  <cp:lastModifiedBy>juan cuvi</cp:lastModifiedBy>
  <cp:revision>245</cp:revision>
  <dcterms:created xsi:type="dcterms:W3CDTF">2014-10-01T13:48:00Z</dcterms:created>
  <dcterms:modified xsi:type="dcterms:W3CDTF">2014-10-22T13:39:00Z</dcterms:modified>
</cp:coreProperties>
</file>